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8D08E" w14:textId="465B8902" w:rsidR="00FD22E9" w:rsidRDefault="00FD22E9" w:rsidP="00FD22E9">
      <w:pPr>
        <w:ind w:left="0" w:right="734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OSNOVNA ŠKOLA ANTUNA MASLE - ORAŠAC</w:t>
      </w:r>
    </w:p>
    <w:p w14:paraId="044DEFBD" w14:textId="314D8853" w:rsidR="005C7CD1" w:rsidRDefault="00297F78" w:rsidP="00FD22E9">
      <w:pPr>
        <w:ind w:left="0" w:right="734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Obrazloženje </w:t>
      </w:r>
      <w:r w:rsidR="00FD22E9">
        <w:rPr>
          <w:b/>
          <w:i/>
          <w:sz w:val="28"/>
        </w:rPr>
        <w:t xml:space="preserve">Prijedloga </w:t>
      </w:r>
      <w:r>
        <w:rPr>
          <w:b/>
          <w:i/>
          <w:sz w:val="28"/>
        </w:rPr>
        <w:t>Financijskog plana za 20</w:t>
      </w:r>
      <w:r w:rsidR="000257A4">
        <w:rPr>
          <w:b/>
          <w:i/>
          <w:sz w:val="28"/>
        </w:rPr>
        <w:t>2</w:t>
      </w:r>
      <w:r w:rsidR="00115927">
        <w:rPr>
          <w:b/>
          <w:i/>
          <w:sz w:val="28"/>
        </w:rPr>
        <w:t>6</w:t>
      </w:r>
      <w:r>
        <w:rPr>
          <w:b/>
          <w:i/>
          <w:sz w:val="28"/>
        </w:rPr>
        <w:t>.</w:t>
      </w:r>
      <w:r w:rsidR="00FD22E9">
        <w:rPr>
          <w:b/>
          <w:i/>
          <w:sz w:val="28"/>
        </w:rPr>
        <w:t xml:space="preserve"> godinu s projekcijama za 2027. i 2028.</w:t>
      </w:r>
    </w:p>
    <w:p w14:paraId="2FEF4FC6" w14:textId="533BC8AC" w:rsidR="00FD22E9" w:rsidRDefault="00FD22E9" w:rsidP="00FD22E9">
      <w:pPr>
        <w:ind w:left="0" w:right="734" w:firstLine="0"/>
        <w:jc w:val="center"/>
        <w:rPr>
          <w:b/>
          <w:i/>
          <w:sz w:val="28"/>
        </w:rPr>
      </w:pPr>
    </w:p>
    <w:p w14:paraId="378E433B" w14:textId="77777777" w:rsidR="00FD22E9" w:rsidRDefault="00FD22E9" w:rsidP="00FD22E9">
      <w:pPr>
        <w:ind w:left="0" w:right="734" w:firstLine="0"/>
        <w:rPr>
          <w:b/>
          <w:i/>
          <w:sz w:val="28"/>
        </w:rPr>
      </w:pPr>
    </w:p>
    <w:p w14:paraId="2AEC174C" w14:textId="710E5E27" w:rsidR="00FD22E9" w:rsidRPr="0058040B" w:rsidRDefault="00FD22E9" w:rsidP="00FD22E9">
      <w:pPr>
        <w:jc w:val="both"/>
      </w:pPr>
      <w:r w:rsidRPr="0058040B">
        <w:t>Financijski plan</w:t>
      </w:r>
      <w:r>
        <w:t xml:space="preserve"> </w:t>
      </w:r>
      <w:r w:rsidRPr="0058040B">
        <w:t xml:space="preserve">akt je Osnovne škole </w:t>
      </w:r>
      <w:r>
        <w:t xml:space="preserve">Antuna </w:t>
      </w:r>
      <w:proofErr w:type="spellStart"/>
      <w:r>
        <w:t>Masle</w:t>
      </w:r>
      <w:proofErr w:type="spellEnd"/>
      <w:r>
        <w:t xml:space="preserve"> - </w:t>
      </w:r>
      <w:proofErr w:type="spellStart"/>
      <w:r>
        <w:t>Orašac</w:t>
      </w:r>
      <w:proofErr w:type="spellEnd"/>
      <w:r w:rsidRPr="0058040B">
        <w:t xml:space="preserve"> kojim se utvrđuju njezini prihodi i primici, te rashodi i izdaci i u skladu je s proračunskim klasifikacijama.. Financijski plan se donosi i izvršavat će se po načelima jedinstva i točnosti proračuna, načelu jedne godine, uravnoteženosti, obračunske jedinice, specifikacije, univerzalnosti te dobrog financijskog upravljanja i transparentnosti.</w:t>
      </w:r>
    </w:p>
    <w:p w14:paraId="3E4695A4" w14:textId="77777777" w:rsidR="00FD22E9" w:rsidRPr="0058040B" w:rsidRDefault="00FD22E9" w:rsidP="00FD22E9"/>
    <w:p w14:paraId="34E77A4D" w14:textId="77777777" w:rsidR="00FD22E9" w:rsidRPr="0058040B" w:rsidRDefault="00FD22E9" w:rsidP="00FD22E9">
      <w:r w:rsidRPr="0058040B">
        <w:t>STRUKTURA FINANCIJSKOG PLANA 2026. – 2028.</w:t>
      </w:r>
    </w:p>
    <w:p w14:paraId="2F4BA34E" w14:textId="77777777" w:rsidR="00FD22E9" w:rsidRPr="0058040B" w:rsidRDefault="00FD22E9" w:rsidP="00FD22E9">
      <w:r w:rsidRPr="0058040B">
        <w:t xml:space="preserve">Financijski plan se sastoji od Općeg i Posebnog dijela.  </w:t>
      </w:r>
    </w:p>
    <w:p w14:paraId="03C4BE2F" w14:textId="77777777" w:rsidR="00FD22E9" w:rsidRPr="0058040B" w:rsidRDefault="00FD22E9" w:rsidP="00FD22E9">
      <w:pPr>
        <w:jc w:val="both"/>
      </w:pPr>
      <w:r w:rsidRPr="0058040B">
        <w:t>1.</w:t>
      </w:r>
      <w:r w:rsidRPr="0058040B">
        <w:tab/>
        <w:t>Opći dio financijskog plana proračunskog korisnika sukladno Članku 34. Zakona o proračunu sadrži:</w:t>
      </w:r>
    </w:p>
    <w:p w14:paraId="2DC0B232" w14:textId="77777777" w:rsidR="00FD22E9" w:rsidRPr="0058040B" w:rsidRDefault="00FD22E9" w:rsidP="00FD22E9">
      <w:pPr>
        <w:ind w:firstLine="708"/>
        <w:jc w:val="both"/>
      </w:pPr>
      <w:r w:rsidRPr="0058040B">
        <w:t>-</w:t>
      </w:r>
      <w:r w:rsidRPr="0058040B">
        <w:tab/>
        <w:t>Sažetak Računa prihoda i rashoda i Računa financiranja</w:t>
      </w:r>
    </w:p>
    <w:p w14:paraId="5480E694" w14:textId="77777777" w:rsidR="00FD22E9" w:rsidRPr="0058040B" w:rsidRDefault="00FD22E9" w:rsidP="00FD22E9">
      <w:pPr>
        <w:ind w:firstLine="708"/>
        <w:jc w:val="both"/>
      </w:pPr>
      <w:r w:rsidRPr="0058040B">
        <w:t>-</w:t>
      </w:r>
      <w:r w:rsidRPr="0058040B">
        <w:tab/>
        <w:t>Račun prihoda i rashoda i Račun financiranja. (Račun prihoda i rashoda proračunskog korisnika sastoji se od: prihoda i rashoda iskazanih prema izvorima financiranja i ekonomskoj klasifikaciji te rashoda iskazanih prema funkcijskoj klasifikaciji)</w:t>
      </w:r>
    </w:p>
    <w:p w14:paraId="701AA15E" w14:textId="77777777" w:rsidR="00FD22E9" w:rsidRPr="0058040B" w:rsidRDefault="00FD22E9" w:rsidP="00FD22E9">
      <w:pPr>
        <w:jc w:val="both"/>
      </w:pPr>
      <w:r w:rsidRPr="0058040B">
        <w:t>2.</w:t>
      </w:r>
      <w:r w:rsidRPr="0058040B">
        <w:tab/>
        <w:t>Posebni dio financijskog plana proračunskog korisnika  sukladno Članku 35. Zakona o proračunu sastoji se od plana rashoda i izdataka iskazanih po izvorima financiranja i ekonomskoj klasifikaciji, raspoređenih u programe koji se sastoje od aktivnosti i projekata.</w:t>
      </w:r>
    </w:p>
    <w:p w14:paraId="48AD78AD" w14:textId="77777777" w:rsidR="00FD22E9" w:rsidRPr="0058040B" w:rsidRDefault="00FD22E9" w:rsidP="00FD22E9">
      <w:pPr>
        <w:jc w:val="both"/>
      </w:pPr>
      <w:r w:rsidRPr="0058040B">
        <w:t>3.</w:t>
      </w:r>
      <w:r w:rsidRPr="0058040B">
        <w:tab/>
        <w:t>Obrazloženje financijskog plana proračunskog korisnika sukladno Članku 36. Zakona o proračunu sastoji se od obrazloženja općeg dijela financijskog plana i obrazloženja posebnog dijela financijskog plana. Opći dio sadrži obrazloženje prihoda i rashoda te prenesenog viška ili prenesenog manjka prihoda nad rashodima. Obrazloženje posebnog dijela financijskog plana sastoji se od obrazloženja programa kroz obrazloženje aktivnosti i projekata zajedno sa ciljevima i pokazateljima uspješnosti.</w:t>
      </w:r>
    </w:p>
    <w:p w14:paraId="41FB637B" w14:textId="77777777" w:rsidR="00FD22E9" w:rsidRPr="0058040B" w:rsidRDefault="00FD22E9" w:rsidP="00FD22E9">
      <w:pPr>
        <w:rPr>
          <w:b/>
          <w:bCs/>
          <w:i/>
        </w:rPr>
      </w:pPr>
    </w:p>
    <w:p w14:paraId="64244F55" w14:textId="77777777" w:rsidR="00FD22E9" w:rsidRPr="0058040B" w:rsidRDefault="00FD22E9" w:rsidP="00FD22E9">
      <w:pPr>
        <w:rPr>
          <w:b/>
          <w:bCs/>
          <w:i/>
        </w:rPr>
      </w:pPr>
      <w:r w:rsidRPr="0058040B">
        <w:rPr>
          <w:b/>
          <w:bCs/>
          <w:i/>
        </w:rPr>
        <w:t xml:space="preserve">OPĆI  DIO PRORAČUNA – OBRAZLOŽENJE </w:t>
      </w:r>
    </w:p>
    <w:p w14:paraId="60044E10" w14:textId="073B1CEE" w:rsidR="00FD22E9" w:rsidRPr="0058040B" w:rsidRDefault="00FD22E9" w:rsidP="00FD22E9">
      <w:pPr>
        <w:jc w:val="both"/>
        <w:rPr>
          <w:iCs/>
        </w:rPr>
      </w:pPr>
      <w:r w:rsidRPr="0058040B">
        <w:rPr>
          <w:iCs/>
        </w:rPr>
        <w:t xml:space="preserve">Financijski plan Osnovne škole </w:t>
      </w:r>
      <w:r>
        <w:rPr>
          <w:iCs/>
        </w:rPr>
        <w:t xml:space="preserve">Antuna </w:t>
      </w:r>
      <w:proofErr w:type="spellStart"/>
      <w:r>
        <w:rPr>
          <w:iCs/>
        </w:rPr>
        <w:t>Masle</w:t>
      </w:r>
      <w:proofErr w:type="spellEnd"/>
      <w:r>
        <w:rPr>
          <w:iCs/>
        </w:rPr>
        <w:t xml:space="preserve"> – </w:t>
      </w:r>
      <w:proofErr w:type="spellStart"/>
      <w:r>
        <w:rPr>
          <w:iCs/>
        </w:rPr>
        <w:t>Orašac</w:t>
      </w:r>
      <w:proofErr w:type="spellEnd"/>
      <w:r>
        <w:rPr>
          <w:iCs/>
        </w:rPr>
        <w:t xml:space="preserve"> </w:t>
      </w:r>
      <w:r w:rsidRPr="0058040B">
        <w:rPr>
          <w:iCs/>
        </w:rPr>
        <w:t xml:space="preserve"> za razdoblje 2026.-2028. godine izrađen je prema metodologiji pr</w:t>
      </w:r>
      <w:r>
        <w:rPr>
          <w:iCs/>
        </w:rPr>
        <w:t>opisanoj Zakonom o proračunu („Narodne novine“ broj:</w:t>
      </w:r>
      <w:r w:rsidRPr="0058040B">
        <w:rPr>
          <w:iCs/>
        </w:rPr>
        <w:t xml:space="preserve"> 144/21), Zako</w:t>
      </w:r>
      <w:r>
        <w:rPr>
          <w:iCs/>
        </w:rPr>
        <w:t>nom o fiskalnoj odgovornosti („</w:t>
      </w:r>
      <w:r w:rsidRPr="0058040B">
        <w:rPr>
          <w:iCs/>
        </w:rPr>
        <w:t>N</w:t>
      </w:r>
      <w:r>
        <w:rPr>
          <w:iCs/>
        </w:rPr>
        <w:t>arodne novine“ broj:111/18), te pod</w:t>
      </w:r>
      <w:r w:rsidR="002135E4">
        <w:rPr>
          <w:iCs/>
        </w:rPr>
        <w:t xml:space="preserve"> </w:t>
      </w:r>
      <w:r w:rsidRPr="0058040B">
        <w:rPr>
          <w:iCs/>
        </w:rPr>
        <w:t>zakonskim aktima kojima se regulira provedba zakonskih rješenja i to Pravilnikom o proračunskom račun</w:t>
      </w:r>
      <w:r>
        <w:rPr>
          <w:iCs/>
        </w:rPr>
        <w:t>ovodstvu i računskom planu  („Narodne novine“ broj:</w:t>
      </w:r>
      <w:r w:rsidRPr="0058040B">
        <w:rPr>
          <w:iCs/>
        </w:rPr>
        <w:t xml:space="preserve"> 124/14, 115/15, 87/16, 3/18, 126/19 i 108/20), Pravilnikom o </w:t>
      </w:r>
      <w:r>
        <w:rPr>
          <w:iCs/>
        </w:rPr>
        <w:t>proračunskim klasifikacijama („Narodne novine“ broj:</w:t>
      </w:r>
      <w:r w:rsidRPr="0058040B">
        <w:rPr>
          <w:iCs/>
        </w:rPr>
        <w:t xml:space="preserve"> 26/10,120/13,01/20), Pravilnika o financijskom izvještaju o izvr</w:t>
      </w:r>
      <w:r>
        <w:rPr>
          <w:iCs/>
        </w:rPr>
        <w:t>šenju proračuna („</w:t>
      </w:r>
      <w:r w:rsidRPr="0058040B">
        <w:rPr>
          <w:iCs/>
        </w:rPr>
        <w:t>N</w:t>
      </w:r>
      <w:r>
        <w:rPr>
          <w:iCs/>
        </w:rPr>
        <w:t>arodne novine“ broj:</w:t>
      </w:r>
      <w:r w:rsidRPr="0058040B">
        <w:rPr>
          <w:iCs/>
        </w:rPr>
        <w:t xml:space="preserve"> 24/13,102/17,1/20 145/20, 85/23).</w:t>
      </w:r>
    </w:p>
    <w:p w14:paraId="2033A204" w14:textId="7C8D4C72" w:rsidR="00FD22E9" w:rsidRPr="0058040B" w:rsidRDefault="00FD22E9" w:rsidP="00FD22E9">
      <w:pPr>
        <w:jc w:val="both"/>
        <w:rPr>
          <w:iCs/>
        </w:rPr>
      </w:pPr>
      <w:r w:rsidRPr="0058040B">
        <w:rPr>
          <w:iCs/>
        </w:rPr>
        <w:t>Odredbama članka 39. Zakona o proračunu, predstavničko tijelo</w:t>
      </w:r>
      <w:r>
        <w:rPr>
          <w:iCs/>
        </w:rPr>
        <w:t xml:space="preserve"> (</w:t>
      </w:r>
      <w:r w:rsidRPr="0058040B">
        <w:rPr>
          <w:iCs/>
        </w:rPr>
        <w:t>Školski odbor)  donosi proračun na razini ekonomske klasifikacije za iduću proračunsku godinu i projekciju na razini skupine za sljedeće dvije proračunske godine.</w:t>
      </w:r>
    </w:p>
    <w:p w14:paraId="77DB43FF" w14:textId="1EA6E09A" w:rsidR="00FD22E9" w:rsidRDefault="00FD22E9" w:rsidP="00FD22E9">
      <w:pPr>
        <w:jc w:val="both"/>
        <w:rPr>
          <w:iCs/>
        </w:rPr>
      </w:pPr>
      <w:r>
        <w:rPr>
          <w:iCs/>
        </w:rPr>
        <w:t xml:space="preserve">Financijski plan Osnovne škole Antuna </w:t>
      </w:r>
      <w:proofErr w:type="spellStart"/>
      <w:r>
        <w:rPr>
          <w:iCs/>
        </w:rPr>
        <w:t>Masle</w:t>
      </w:r>
      <w:proofErr w:type="spellEnd"/>
      <w:r>
        <w:rPr>
          <w:iCs/>
        </w:rPr>
        <w:t xml:space="preserve"> - </w:t>
      </w:r>
      <w:proofErr w:type="spellStart"/>
      <w:r>
        <w:rPr>
          <w:iCs/>
        </w:rPr>
        <w:t>Orašac</w:t>
      </w:r>
      <w:proofErr w:type="spellEnd"/>
      <w:r w:rsidRPr="0058040B">
        <w:rPr>
          <w:iCs/>
        </w:rPr>
        <w:t xml:space="preserve"> čine prihodi i primici, te rashodi i izdaci raspoređeni u programe koji se sastoje od aktivnosti i projekata, a iskazani su prema ekonomskoj i funkcijskoj klasifikaciji.</w:t>
      </w:r>
    </w:p>
    <w:p w14:paraId="25310848" w14:textId="337727EE" w:rsidR="004D4A50" w:rsidRPr="002135E4" w:rsidRDefault="004D4A50" w:rsidP="002135E4">
      <w:pPr>
        <w:rPr>
          <w:b/>
          <w:iCs/>
        </w:rPr>
      </w:pPr>
      <w:r>
        <w:rPr>
          <w:b/>
          <w:iCs/>
        </w:rPr>
        <w:lastRenderedPageBreak/>
        <w:t xml:space="preserve">                                                                                                                 1. </w:t>
      </w:r>
      <w:r w:rsidRPr="004D4A50">
        <w:rPr>
          <w:b/>
          <w:iCs/>
        </w:rPr>
        <w:t>OPĆI DIO</w:t>
      </w:r>
      <w:r>
        <w:fldChar w:fldCharType="begin"/>
      </w:r>
      <w:r>
        <w:instrText xml:space="preserve"> LINK </w:instrText>
      </w:r>
      <w:r w:rsidR="000F5B4E">
        <w:instrText xml:space="preserve">Excel.Sheet.12 "C:\\Users\\korisnik\\Documents\\PLAN - GRAD\\2026\\Prijedlog financijskog plana za 2026. godinu - ŠO.xlsx" SAŽETAK!R5C1:R31C15 </w:instrText>
      </w:r>
      <w:r>
        <w:instrText xml:space="preserve">\a \f 4 \h  \* MERGEFORMAT </w:instrText>
      </w:r>
      <w:r>
        <w:fldChar w:fldCharType="separate"/>
      </w:r>
    </w:p>
    <w:tbl>
      <w:tblPr>
        <w:tblW w:w="14931" w:type="dxa"/>
        <w:jc w:val="center"/>
        <w:tblLook w:val="04A0" w:firstRow="1" w:lastRow="0" w:firstColumn="1" w:lastColumn="0" w:noHBand="0" w:noVBand="1"/>
      </w:tblPr>
      <w:tblGrid>
        <w:gridCol w:w="1142"/>
        <w:gridCol w:w="1142"/>
        <w:gridCol w:w="960"/>
        <w:gridCol w:w="960"/>
        <w:gridCol w:w="2660"/>
        <w:gridCol w:w="1722"/>
        <w:gridCol w:w="1701"/>
        <w:gridCol w:w="1701"/>
        <w:gridCol w:w="1559"/>
        <w:gridCol w:w="1384"/>
      </w:tblGrid>
      <w:tr w:rsidR="002135E4" w:rsidRPr="004D4A50" w14:paraId="5E640FB3" w14:textId="77777777" w:rsidTr="000F5B4E">
        <w:trPr>
          <w:trHeight w:val="360"/>
          <w:jc w:val="center"/>
        </w:trPr>
        <w:tc>
          <w:tcPr>
            <w:tcW w:w="14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1D062" w14:textId="15EDD62A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23AD5">
              <w:t>A) SAŽETAK RAČUNA PRIHODA I RASHODA</w:t>
            </w:r>
          </w:p>
        </w:tc>
      </w:tr>
      <w:tr w:rsidR="002135E4" w:rsidRPr="004D4A50" w14:paraId="022CC69A" w14:textId="77777777" w:rsidTr="000F5B4E">
        <w:trPr>
          <w:trHeight w:val="51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86E5BE" w14:textId="603DC86C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28B265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5096A5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B01C7E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204D6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5146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Ostvarenje 2024.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A180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98BF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Proračun za 2026.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AAEF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Projekcija 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 2027.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C5A9C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Projekcija 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 2028.</w:t>
            </w:r>
          </w:p>
        </w:tc>
      </w:tr>
      <w:tr w:rsidR="002135E4" w:rsidRPr="004D4A50" w14:paraId="65208163" w14:textId="77777777" w:rsidTr="000F5B4E">
        <w:trPr>
          <w:trHeight w:val="300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CBB0B4" w14:textId="3D3EB5CB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46AA0E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F6C28E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928638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3FADE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2BFF79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F4A34A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294206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D6A87D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81C1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proofErr w:type="spellEnd"/>
          </w:p>
        </w:tc>
      </w:tr>
      <w:tr w:rsidR="000F5B4E" w:rsidRPr="004D4A50" w14:paraId="045AA94B" w14:textId="77777777" w:rsidTr="000F5B4E">
        <w:trPr>
          <w:trHeight w:val="300"/>
          <w:jc w:val="center"/>
        </w:trPr>
        <w:tc>
          <w:tcPr>
            <w:tcW w:w="6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2B108D41" w14:textId="5449AAE7" w:rsidR="000F5B4E" w:rsidRPr="004D4A50" w:rsidRDefault="000F5B4E" w:rsidP="000F5B4E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23AD5">
              <w:t>PRIHODI UKUPNO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07CBBC" w14:textId="77777777" w:rsidR="000F5B4E" w:rsidRPr="004D4A50" w:rsidRDefault="000F5B4E" w:rsidP="000F5B4E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1.190.391,51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1FABF7" w14:textId="66330F82" w:rsidR="000F5B4E" w:rsidRPr="004D4A50" w:rsidRDefault="000F5B4E" w:rsidP="000F5B4E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407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969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14CCD7" w14:textId="46FA6B48" w:rsidR="000F5B4E" w:rsidRPr="004D4A50" w:rsidRDefault="000F5B4E" w:rsidP="000F5B4E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900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033117" w14:textId="1EB9C728" w:rsidR="000F5B4E" w:rsidRPr="004D4A50" w:rsidRDefault="000F5B4E" w:rsidP="000F5B4E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900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7F2928" w14:textId="31146C47" w:rsidR="000F5B4E" w:rsidRPr="004D4A50" w:rsidRDefault="000F5B4E" w:rsidP="000F5B4E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900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</w:tr>
      <w:tr w:rsidR="000F5B4E" w:rsidRPr="004D4A50" w14:paraId="07E8FFD0" w14:textId="77777777" w:rsidTr="000F5B4E">
        <w:trPr>
          <w:trHeight w:val="300"/>
          <w:jc w:val="center"/>
        </w:trPr>
        <w:tc>
          <w:tcPr>
            <w:tcW w:w="6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1D59D8" w14:textId="6F368474" w:rsidR="000F5B4E" w:rsidRPr="004D4A50" w:rsidRDefault="000F5B4E" w:rsidP="000F5B4E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23AD5">
              <w:t>PRIHODI POSLOVANJA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84C3" w14:textId="77777777" w:rsidR="000F5B4E" w:rsidRPr="004D4A50" w:rsidRDefault="000F5B4E" w:rsidP="000F5B4E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1.189.786,61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301D" w14:textId="401E9F78" w:rsidR="000F5B4E" w:rsidRPr="004D4A50" w:rsidRDefault="000F5B4E" w:rsidP="000F5B4E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407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969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AB5F" w14:textId="0133C15C" w:rsidR="000F5B4E" w:rsidRPr="004D4A50" w:rsidRDefault="000F5B4E" w:rsidP="000F5B4E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900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FF08" w14:textId="4D8CD850" w:rsidR="000F5B4E" w:rsidRPr="004D4A50" w:rsidRDefault="000F5B4E" w:rsidP="000F5B4E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900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8D22" w14:textId="24B7A6A5" w:rsidR="000F5B4E" w:rsidRPr="004D4A50" w:rsidRDefault="000F5B4E" w:rsidP="000F5B4E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900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</w:tr>
      <w:tr w:rsidR="002135E4" w:rsidRPr="004D4A50" w14:paraId="24BD0D3A" w14:textId="77777777" w:rsidTr="000F5B4E">
        <w:trPr>
          <w:trHeight w:val="300"/>
          <w:jc w:val="center"/>
        </w:trPr>
        <w:tc>
          <w:tcPr>
            <w:tcW w:w="6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A735B" w14:textId="03CC0CE9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23AD5">
              <w:t>PRIHODI OD PRODAJE NEFINANCIJSKE IMOVINE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24A6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604,90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F629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2E20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7A68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E07D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2135E4" w:rsidRPr="004D4A50" w14:paraId="4CFAB087" w14:textId="77777777" w:rsidTr="000F5B4E">
        <w:trPr>
          <w:trHeight w:val="265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hideMark/>
          </w:tcPr>
          <w:p w14:paraId="03B1409E" w14:textId="6BA869CB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t>RASHODI</w:t>
            </w:r>
            <w:r w:rsidRPr="00F23AD5">
              <w:t>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2089902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D4A5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E2B0A0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D4A5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99ECE3B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D4A5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5A7AB0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1.171.181,29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216FD4" w14:textId="5C2AD496" w:rsidR="002135E4" w:rsidRPr="004D4A50" w:rsidRDefault="002135E4" w:rsidP="000F5B4E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="000F5B4E">
              <w:rPr>
                <w:rFonts w:ascii="Arial" w:hAnsi="Arial" w:cs="Arial"/>
                <w:b/>
                <w:bCs/>
                <w:sz w:val="20"/>
                <w:szCs w:val="20"/>
              </w:rPr>
              <w:t>407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F5B4E">
              <w:rPr>
                <w:rFonts w:ascii="Arial" w:hAnsi="Arial" w:cs="Arial"/>
                <w:b/>
                <w:bCs/>
                <w:sz w:val="20"/>
                <w:szCs w:val="20"/>
              </w:rPr>
              <w:t>969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CBF334" w14:textId="0798393D" w:rsidR="002135E4" w:rsidRPr="004D4A50" w:rsidRDefault="002135E4" w:rsidP="00637243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  <w:r w:rsidR="00637243"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37243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3DEDE7" w14:textId="7CE92C69" w:rsidR="002135E4" w:rsidRPr="004D4A50" w:rsidRDefault="002135E4" w:rsidP="00637243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  <w:r w:rsidR="00637243"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37243">
              <w:rPr>
                <w:rFonts w:ascii="Arial" w:hAnsi="Arial" w:cs="Arial"/>
                <w:b/>
                <w:bCs/>
                <w:sz w:val="20"/>
                <w:szCs w:val="20"/>
              </w:rPr>
              <w:t>900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DC92DA" w14:textId="13B3B098" w:rsidR="002135E4" w:rsidRPr="004D4A50" w:rsidRDefault="002135E4" w:rsidP="00637243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  <w:r w:rsidR="00637243"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37243">
              <w:rPr>
                <w:rFonts w:ascii="Arial" w:hAnsi="Arial" w:cs="Arial"/>
                <w:b/>
                <w:bCs/>
                <w:sz w:val="20"/>
                <w:szCs w:val="20"/>
              </w:rPr>
              <w:t>900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</w:tr>
      <w:tr w:rsidR="002135E4" w:rsidRPr="004D4A50" w14:paraId="78AA2114" w14:textId="77777777" w:rsidTr="000F5B4E">
        <w:trPr>
          <w:trHeight w:val="300"/>
          <w:jc w:val="center"/>
        </w:trPr>
        <w:tc>
          <w:tcPr>
            <w:tcW w:w="6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530448" w14:textId="61FAB362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23AD5">
              <w:t>RASHODI  POSLOVANJA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24CF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1.152.942,72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ED33" w14:textId="69101251" w:rsidR="002135E4" w:rsidRPr="004D4A50" w:rsidRDefault="002135E4" w:rsidP="00881C91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="000F5B4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81C91">
              <w:rPr>
                <w:rFonts w:ascii="Arial" w:hAnsi="Arial" w:cs="Arial"/>
                <w:b/>
                <w:bCs/>
                <w:sz w:val="20"/>
                <w:szCs w:val="20"/>
              </w:rPr>
              <w:t>79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81C9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F5B4E"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6265" w14:textId="1E785CE2" w:rsidR="002135E4" w:rsidRPr="004D4A50" w:rsidRDefault="002135E4" w:rsidP="00637243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  <w:r w:rsidR="00637243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37243">
              <w:rPr>
                <w:rFonts w:ascii="Arial" w:hAnsi="Arial" w:cs="Arial"/>
                <w:b/>
                <w:bCs/>
                <w:sz w:val="20"/>
                <w:szCs w:val="20"/>
              </w:rPr>
              <w:t>830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7E42" w14:textId="2AE24FA5" w:rsidR="002135E4" w:rsidRPr="004D4A50" w:rsidRDefault="002135E4" w:rsidP="00637243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  <w:r w:rsidR="00637243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37243">
              <w:rPr>
                <w:rFonts w:ascii="Arial" w:hAnsi="Arial" w:cs="Arial"/>
                <w:b/>
                <w:bCs/>
                <w:sz w:val="20"/>
                <w:szCs w:val="20"/>
              </w:rPr>
              <w:t>830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5AFB" w14:textId="3F329F97" w:rsidR="002135E4" w:rsidRPr="004D4A50" w:rsidRDefault="002135E4" w:rsidP="00637243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  <w:r w:rsidR="00637243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37243">
              <w:rPr>
                <w:rFonts w:ascii="Arial" w:hAnsi="Arial" w:cs="Arial"/>
                <w:b/>
                <w:bCs/>
                <w:sz w:val="20"/>
                <w:szCs w:val="20"/>
              </w:rPr>
              <w:t>830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</w:tr>
      <w:tr w:rsidR="002135E4" w:rsidRPr="004D4A50" w14:paraId="2710CB20" w14:textId="77777777" w:rsidTr="000F5B4E">
        <w:trPr>
          <w:trHeight w:val="300"/>
          <w:jc w:val="center"/>
        </w:trPr>
        <w:tc>
          <w:tcPr>
            <w:tcW w:w="6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C3EA90" w14:textId="1F4644A0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23AD5">
              <w:t>RASHODI ZA NABAVU NEFINANCIJSKE IMOVINE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582D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18.238,57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8339" w14:textId="74718A4F" w:rsidR="002135E4" w:rsidRPr="004D4A50" w:rsidRDefault="000F5B4E" w:rsidP="00881C91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81C9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2135E4"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81C9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2135E4"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097C" w14:textId="5EF3E63E" w:rsidR="002135E4" w:rsidRPr="004D4A50" w:rsidRDefault="002135E4" w:rsidP="00637243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3724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A379" w14:textId="40EE4F9B" w:rsidR="002135E4" w:rsidRPr="004D4A50" w:rsidRDefault="002135E4" w:rsidP="00637243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3724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.070,00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5975" w14:textId="39FC4C63" w:rsidR="002135E4" w:rsidRPr="004D4A50" w:rsidRDefault="002135E4" w:rsidP="00637243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3724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.070,00</w:t>
            </w:r>
          </w:p>
        </w:tc>
      </w:tr>
      <w:tr w:rsidR="002135E4" w:rsidRPr="004D4A50" w14:paraId="63137323" w14:textId="77777777" w:rsidTr="000F5B4E">
        <w:trPr>
          <w:trHeight w:val="300"/>
          <w:jc w:val="center"/>
        </w:trPr>
        <w:tc>
          <w:tcPr>
            <w:tcW w:w="6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4A4D5A80" w14:textId="15922AF4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23AD5">
              <w:t>RAZLIKA - VIŠAK / MANJAK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95AC1B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19.210,22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F845D9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9C7EF4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BF50C5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8A98C4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2135E4" w:rsidRPr="004D4A50" w14:paraId="1DF3AA12" w14:textId="77777777" w:rsidTr="000F5B4E">
        <w:trPr>
          <w:trHeight w:val="360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5010B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60274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8CE92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73E2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F6B76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A6DDA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511D3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8605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5AC5" w14:textId="77777777" w:rsidR="002135E4" w:rsidRPr="004D4A50" w:rsidRDefault="002135E4" w:rsidP="002135E4">
            <w:pPr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DFCD" w14:textId="77777777" w:rsidR="002135E4" w:rsidRPr="004D4A50" w:rsidRDefault="002135E4" w:rsidP="002135E4">
            <w:pPr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2135E4" w:rsidRPr="004D4A50" w14:paraId="1B186E55" w14:textId="77777777" w:rsidTr="000F5B4E">
        <w:trPr>
          <w:trHeight w:val="360"/>
          <w:jc w:val="center"/>
        </w:trPr>
        <w:tc>
          <w:tcPr>
            <w:tcW w:w="13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02BEA" w14:textId="7CB9C8B6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23AD5">
              <w:t>B) SAŽETAK RAČUNA FINANCIRANJA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6C66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2135E4" w:rsidRPr="004D4A50" w14:paraId="68BF4529" w14:textId="77777777" w:rsidTr="000F5B4E">
        <w:trPr>
          <w:trHeight w:val="51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0134FB" w14:textId="7E55E7F2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5A533B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37D44D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D86DF5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F1DA1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8A39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Ostvarenje 2024.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734B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BBC5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Proračun za 2026.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23EE6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Projekcija 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 2027.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B839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Projekcija 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 2028.</w:t>
            </w:r>
          </w:p>
        </w:tc>
      </w:tr>
      <w:tr w:rsidR="002135E4" w:rsidRPr="004D4A50" w14:paraId="79B47F11" w14:textId="77777777" w:rsidTr="000F5B4E">
        <w:trPr>
          <w:trHeight w:val="300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CD29AA" w14:textId="40B03C9B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C40439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E2D1A7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91D06F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5E0DA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C003AF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5A070C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CD3339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32DFB6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FFF6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proofErr w:type="spellEnd"/>
          </w:p>
        </w:tc>
      </w:tr>
      <w:tr w:rsidR="002135E4" w:rsidRPr="004D4A50" w14:paraId="1AAD480F" w14:textId="77777777" w:rsidTr="000F5B4E">
        <w:trPr>
          <w:trHeight w:val="315"/>
          <w:jc w:val="center"/>
        </w:trPr>
        <w:tc>
          <w:tcPr>
            <w:tcW w:w="6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7BB560" w14:textId="79DA059E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23AD5">
              <w:t>PRIMICI OD FINANCIJSKE IMOVINE I ZADUŽIVANJA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E3A3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D429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EA9C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219C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4DB1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35E4" w:rsidRPr="004D4A50" w14:paraId="08270F31" w14:textId="77777777" w:rsidTr="000F5B4E">
        <w:trPr>
          <w:trHeight w:val="300"/>
          <w:jc w:val="center"/>
        </w:trPr>
        <w:tc>
          <w:tcPr>
            <w:tcW w:w="6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B2293D" w14:textId="424396E3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23AD5">
              <w:t>IZDACI ZA FINANCIJSKU IMOVINU I OTPLATE ZAJMOVA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CF12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AB14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C0F5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54AB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F08D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35E4" w:rsidRPr="004D4A50" w14:paraId="21D832FA" w14:textId="77777777" w:rsidTr="000F5B4E">
        <w:trPr>
          <w:trHeight w:val="300"/>
          <w:jc w:val="center"/>
        </w:trPr>
        <w:tc>
          <w:tcPr>
            <w:tcW w:w="6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hideMark/>
          </w:tcPr>
          <w:p w14:paraId="5D7E8698" w14:textId="4729CAC6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23AD5">
              <w:t>NETO FINANCIRANJE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FE5B7C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0892A5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EE7B4F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FD8ED1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5CD15A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2135E4" w:rsidRPr="004D4A50" w14:paraId="17926B09" w14:textId="77777777" w:rsidTr="000F5B4E">
        <w:trPr>
          <w:trHeight w:val="360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86D05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B4E9A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35877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5A413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43463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A7862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906D7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4BA2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6468" w14:textId="77777777" w:rsidR="002135E4" w:rsidRPr="004D4A50" w:rsidRDefault="002135E4" w:rsidP="002135E4">
            <w:pPr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F2D4" w14:textId="77777777" w:rsidR="002135E4" w:rsidRPr="004D4A50" w:rsidRDefault="002135E4" w:rsidP="002135E4">
            <w:pPr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2135E4" w:rsidRPr="004D4A50" w14:paraId="36D14F2D" w14:textId="77777777" w:rsidTr="000F5B4E">
        <w:trPr>
          <w:trHeight w:val="360"/>
          <w:jc w:val="center"/>
        </w:trPr>
        <w:tc>
          <w:tcPr>
            <w:tcW w:w="13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0FEB3" w14:textId="3B09CE32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23AD5">
              <w:t xml:space="preserve">C) PRENESENI VIŠAK ILI PRENESENI MANJAK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0F56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2135E4" w:rsidRPr="004D4A50" w14:paraId="33C85BF0" w14:textId="77777777" w:rsidTr="000F5B4E">
        <w:trPr>
          <w:trHeight w:val="51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043536" w14:textId="0238149B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7A1397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4E3976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FF20C9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98C58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F731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Ostvarenje 2024.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E9DE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C609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Proračun za 2026.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E1FB0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Projekcija 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 2027.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634E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Projekcija </w:t>
            </w: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 2028.</w:t>
            </w:r>
          </w:p>
        </w:tc>
      </w:tr>
      <w:tr w:rsidR="002135E4" w:rsidRPr="004D4A50" w14:paraId="4A1BE72C" w14:textId="77777777" w:rsidTr="000F5B4E">
        <w:trPr>
          <w:trHeight w:val="300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7BCD4C" w14:textId="3C7B39E1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7F9E8C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F234B5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DCC10C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6B32A" w14:textId="7777777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7428E0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50F252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6CD834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AF275E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6313E" w14:textId="77777777" w:rsidR="002135E4" w:rsidRPr="004D4A50" w:rsidRDefault="002135E4" w:rsidP="002135E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proofErr w:type="spellEnd"/>
          </w:p>
        </w:tc>
      </w:tr>
      <w:tr w:rsidR="002135E4" w:rsidRPr="004D4A50" w14:paraId="40E88F3C" w14:textId="77777777" w:rsidTr="000F5B4E">
        <w:trPr>
          <w:trHeight w:val="300"/>
          <w:jc w:val="center"/>
        </w:trPr>
        <w:tc>
          <w:tcPr>
            <w:tcW w:w="6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2B80600C" w14:textId="5DFBCBE2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AD5">
              <w:t>PRIJENOS VIŠKA / MANJKA IZ PRETHODNE/IH GODINE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6F176C3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-1.901,72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865FED8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17.308,50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EE5C70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5D28D4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41579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35E4" w:rsidRPr="004D4A50" w14:paraId="7552BB0E" w14:textId="77777777" w:rsidTr="000F5B4E">
        <w:trPr>
          <w:trHeight w:val="300"/>
          <w:jc w:val="center"/>
        </w:trPr>
        <w:tc>
          <w:tcPr>
            <w:tcW w:w="6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34CBC731" w14:textId="11DBAB15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AD5">
              <w:t>PRIJENOS VIŠKA / MANJKA U SLJEDEĆE RAZDOBLJE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A566D7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66F6E2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1A1F75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6359FCC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03C37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35E4" w:rsidRPr="004D4A50" w14:paraId="2ABA5B32" w14:textId="77777777" w:rsidTr="000F5B4E">
        <w:trPr>
          <w:trHeight w:val="840"/>
          <w:jc w:val="center"/>
        </w:trPr>
        <w:tc>
          <w:tcPr>
            <w:tcW w:w="6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hideMark/>
          </w:tcPr>
          <w:p w14:paraId="01DF0752" w14:textId="155E8BD7" w:rsidR="002135E4" w:rsidRPr="004D4A50" w:rsidRDefault="002135E4" w:rsidP="002135E4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AD5">
              <w:t>VIŠAK / MANJAK + NETO FINANCIRANJE + PRIJENOS VIŠKA / MANJKA IZ PRETHODNE(IH) GODINE -PRIJENOS VIŠKA / MANJKA U SLJEDEĆE RAZDOBLJE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4288950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17.308,50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228A892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CD79FBC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717E011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FBC4D1" w14:textId="77777777" w:rsidR="002135E4" w:rsidRPr="004D4A50" w:rsidRDefault="002135E4" w:rsidP="002135E4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A5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</w:tbl>
    <w:p w14:paraId="61FC36D2" w14:textId="2FA4A79D" w:rsidR="004D4A50" w:rsidRDefault="004D4A50" w:rsidP="00FD22E9">
      <w:pPr>
        <w:jc w:val="both"/>
        <w:rPr>
          <w:iCs/>
        </w:rPr>
      </w:pPr>
      <w:r>
        <w:rPr>
          <w:iCs/>
        </w:rPr>
        <w:fldChar w:fldCharType="end"/>
      </w:r>
    </w:p>
    <w:p w14:paraId="4AE8042F" w14:textId="77777777" w:rsidR="002135E4" w:rsidRPr="0058040B" w:rsidRDefault="002135E4" w:rsidP="002135E4">
      <w:pPr>
        <w:rPr>
          <w:b/>
        </w:rPr>
      </w:pPr>
      <w:r w:rsidRPr="0058040B">
        <w:rPr>
          <w:b/>
        </w:rPr>
        <w:lastRenderedPageBreak/>
        <w:t>OBRAZLOŽENJE PRIHODA</w:t>
      </w:r>
    </w:p>
    <w:p w14:paraId="41F55A7D" w14:textId="77777777" w:rsidR="002135E4" w:rsidRPr="0058040B" w:rsidRDefault="002135E4" w:rsidP="002135E4">
      <w:pPr>
        <w:jc w:val="both"/>
        <w:rPr>
          <w:bCs/>
        </w:rPr>
      </w:pPr>
      <w:r w:rsidRPr="0058040B">
        <w:rPr>
          <w:bCs/>
        </w:rPr>
        <w:t xml:space="preserve">Ukupno planirani prihodi i primici u narednom se trogodišnjem razdoblju planiraju u cijelosti ostvariti prema izrađenim financijskim planovima za razdoblje od 2026. do 2028. godine, a prema pripadajućim programima i izvorima financiranja. </w:t>
      </w:r>
    </w:p>
    <w:p w14:paraId="7C9D37F6" w14:textId="36D42D7E" w:rsidR="002135E4" w:rsidRDefault="002135E4" w:rsidP="002135E4">
      <w:pPr>
        <w:jc w:val="both"/>
        <w:rPr>
          <w:bCs/>
        </w:rPr>
      </w:pPr>
      <w:r>
        <w:rPr>
          <w:bCs/>
        </w:rPr>
        <w:t>Namjenski</w:t>
      </w:r>
      <w:r w:rsidRPr="0058040B">
        <w:rPr>
          <w:bCs/>
        </w:rPr>
        <w:t xml:space="preserve"> su prihodi i primici planirani prema ostvarenju prethodnih godina.</w:t>
      </w:r>
    </w:p>
    <w:p w14:paraId="04E1F90B" w14:textId="73900A22" w:rsidR="002135E4" w:rsidRDefault="002135E4" w:rsidP="002135E4">
      <w:pPr>
        <w:jc w:val="both"/>
        <w:rPr>
          <w:bCs/>
        </w:rPr>
      </w:pPr>
    </w:p>
    <w:p w14:paraId="77E1BEF9" w14:textId="77777777" w:rsidR="002135E4" w:rsidRPr="0058040B" w:rsidRDefault="002135E4" w:rsidP="002135E4">
      <w:pPr>
        <w:jc w:val="both"/>
        <w:rPr>
          <w:bCs/>
        </w:rPr>
      </w:pPr>
    </w:p>
    <w:p w14:paraId="47A3F0B2" w14:textId="77777777" w:rsidR="002135E4" w:rsidRDefault="002135E4" w:rsidP="002135E4">
      <w:pPr>
        <w:rPr>
          <w:b/>
        </w:rPr>
      </w:pPr>
      <w:r w:rsidRPr="0058040B">
        <w:rPr>
          <w:b/>
        </w:rPr>
        <w:t>PRIHODI POSLOVANJA PREMA EKONOMSKOJ KLASIFIKACIJI</w:t>
      </w:r>
    </w:p>
    <w:tbl>
      <w:tblPr>
        <w:tblW w:w="14720" w:type="dxa"/>
        <w:tblLook w:val="04A0" w:firstRow="1" w:lastRow="0" w:firstColumn="1" w:lastColumn="0" w:noHBand="0" w:noVBand="1"/>
      </w:tblPr>
      <w:tblGrid>
        <w:gridCol w:w="7920"/>
        <w:gridCol w:w="1360"/>
        <w:gridCol w:w="1360"/>
        <w:gridCol w:w="1360"/>
        <w:gridCol w:w="1360"/>
        <w:gridCol w:w="1360"/>
      </w:tblGrid>
      <w:tr w:rsidR="002135E4" w:rsidRPr="002135E4" w14:paraId="6C75C6A1" w14:textId="77777777" w:rsidTr="002135E4">
        <w:trPr>
          <w:trHeight w:val="5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CBAE9" w14:textId="77777777" w:rsidR="002135E4" w:rsidRPr="002135E4" w:rsidRDefault="002135E4" w:rsidP="002135E4">
            <w:pPr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BROJČANA OZNAKA I NAZIV RAČUNA PRIHODA I RAHODA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B46D2" w14:textId="77777777" w:rsidR="002135E4" w:rsidRPr="002135E4" w:rsidRDefault="002135E4" w:rsidP="002135E4">
            <w:pPr>
              <w:spacing w:line="240" w:lineRule="auto"/>
              <w:ind w:left="0" w:firstLineChars="100" w:firstLine="2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Ostvarenje 2024.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8DFC0" w14:textId="77777777" w:rsidR="002135E4" w:rsidRPr="002135E4" w:rsidRDefault="002135E4" w:rsidP="002135E4">
            <w:pPr>
              <w:spacing w:line="240" w:lineRule="auto"/>
              <w:ind w:left="0" w:firstLineChars="100" w:firstLine="2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Plan 2025.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C8D29" w14:textId="77777777" w:rsidR="002135E4" w:rsidRPr="002135E4" w:rsidRDefault="002135E4" w:rsidP="002135E4">
            <w:pPr>
              <w:spacing w:line="240" w:lineRule="auto"/>
              <w:ind w:left="0" w:firstLineChars="100" w:firstLine="2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Plan 2026.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03183" w14:textId="77777777" w:rsidR="002135E4" w:rsidRPr="002135E4" w:rsidRDefault="002135E4" w:rsidP="002135E4">
            <w:pPr>
              <w:spacing w:line="240" w:lineRule="auto"/>
              <w:ind w:left="0" w:firstLineChars="100" w:firstLine="2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Plan 2027.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63B4" w14:textId="77777777" w:rsidR="002135E4" w:rsidRPr="002135E4" w:rsidRDefault="002135E4" w:rsidP="002135E4">
            <w:pPr>
              <w:spacing w:line="240" w:lineRule="auto"/>
              <w:ind w:left="0" w:firstLineChars="100" w:firstLine="2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Plan 2028.</w:t>
            </w:r>
          </w:p>
        </w:tc>
      </w:tr>
      <w:tr w:rsidR="00F70258" w:rsidRPr="002135E4" w14:paraId="2DFEEA1F" w14:textId="77777777" w:rsidTr="002135E4">
        <w:trPr>
          <w:trHeight w:val="2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  <w:hideMark/>
          </w:tcPr>
          <w:p w14:paraId="7D52114F" w14:textId="77777777" w:rsidR="00F70258" w:rsidRPr="002135E4" w:rsidRDefault="00F70258" w:rsidP="00F70258">
            <w:pPr>
              <w:spacing w:line="240" w:lineRule="auto"/>
              <w:ind w:left="0" w:firstLineChars="400" w:firstLine="8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6 Prihodi poslovanja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  <w:hideMark/>
          </w:tcPr>
          <w:p w14:paraId="506F0998" w14:textId="77777777" w:rsidR="00F70258" w:rsidRPr="002135E4" w:rsidRDefault="00F70258" w:rsidP="00F70258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1.189.786,61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  <w:hideMark/>
          </w:tcPr>
          <w:p w14:paraId="4ECFFCD6" w14:textId="5BCF9B73" w:rsidR="00F70258" w:rsidRPr="002135E4" w:rsidRDefault="00F70258" w:rsidP="000F5B4E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  <w:r w:rsidR="000F5B4E">
              <w:rPr>
                <w:rFonts w:ascii="Calibri" w:hAnsi="Calibri" w:cs="Calibri"/>
                <w:b/>
                <w:bCs/>
                <w:sz w:val="20"/>
                <w:szCs w:val="20"/>
              </w:rPr>
              <w:t>407</w:t>
            </w: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0F5B4E">
              <w:rPr>
                <w:rFonts w:ascii="Calibri" w:hAnsi="Calibri" w:cs="Calibri"/>
                <w:b/>
                <w:bCs/>
                <w:sz w:val="20"/>
                <w:szCs w:val="20"/>
              </w:rPr>
              <w:t>969</w:t>
            </w: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  <w:hideMark/>
          </w:tcPr>
          <w:p w14:paraId="1C2377CF" w14:textId="486BC0E4" w:rsidR="00F70258" w:rsidRPr="002135E4" w:rsidRDefault="00F70258" w:rsidP="00F70258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1.3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</w:t>
            </w: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900</w:t>
            </w: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  <w:hideMark/>
          </w:tcPr>
          <w:p w14:paraId="17B8006A" w14:textId="02518A3A" w:rsidR="00F70258" w:rsidRPr="002135E4" w:rsidRDefault="00F70258" w:rsidP="00F70258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1.3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</w:t>
            </w: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900</w:t>
            </w: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08F4AF8A" w14:textId="01FD3D6F" w:rsidR="00F70258" w:rsidRPr="002135E4" w:rsidRDefault="00F70258" w:rsidP="00F70258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1.3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</w:t>
            </w: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900</w:t>
            </w: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</w:tr>
      <w:tr w:rsidR="002135E4" w:rsidRPr="002135E4" w14:paraId="0AC3D10C" w14:textId="77777777" w:rsidTr="002135E4">
        <w:trPr>
          <w:trHeight w:val="2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27686873" w14:textId="77777777" w:rsidR="002135E4" w:rsidRPr="002135E4" w:rsidRDefault="002135E4" w:rsidP="002135E4">
            <w:pPr>
              <w:spacing w:line="240" w:lineRule="auto"/>
              <w:ind w:left="0" w:firstLineChars="400" w:firstLine="8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63 Pomoći iz inozemstva (darovnice) i od subjekata unutar opće države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6B7BDEAA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1.020.485,64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A1A0643" w14:textId="23A76DD7" w:rsidR="002135E4" w:rsidRPr="002135E4" w:rsidRDefault="002135E4" w:rsidP="000F5B4E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  <w:r w:rsidR="000F5B4E">
              <w:rPr>
                <w:rFonts w:ascii="Calibri" w:hAnsi="Calibri" w:cs="Calibri"/>
                <w:b/>
                <w:bCs/>
                <w:sz w:val="20"/>
                <w:szCs w:val="20"/>
              </w:rPr>
              <w:t>69</w:t>
            </w: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0F5B4E">
              <w:rPr>
                <w:rFonts w:ascii="Calibri" w:hAnsi="Calibri" w:cs="Calibri"/>
                <w:b/>
                <w:bCs/>
                <w:sz w:val="20"/>
                <w:szCs w:val="20"/>
              </w:rPr>
              <w:t>966</w:t>
            </w: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236EFE66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1.144.350,00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4226286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1.144.350,00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2A95DB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1.144.350,00</w:t>
            </w:r>
          </w:p>
        </w:tc>
      </w:tr>
      <w:tr w:rsidR="002135E4" w:rsidRPr="002135E4" w14:paraId="1BA85EE4" w14:textId="77777777" w:rsidTr="002135E4">
        <w:trPr>
          <w:trHeight w:val="2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FC917FE" w14:textId="77777777" w:rsidR="002135E4" w:rsidRPr="002135E4" w:rsidRDefault="002135E4" w:rsidP="002135E4">
            <w:pPr>
              <w:spacing w:line="240" w:lineRule="auto"/>
              <w:ind w:left="0" w:firstLineChars="400" w:firstLine="8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64 Prihodi od imovine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60AA64BB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11,44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3E744B6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5A43A75F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078DC9F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B4BC4A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2135E4" w:rsidRPr="002135E4" w14:paraId="1755C292" w14:textId="77777777" w:rsidTr="002135E4">
        <w:trPr>
          <w:trHeight w:val="51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6B634C71" w14:textId="77777777" w:rsidR="002135E4" w:rsidRPr="00523D9E" w:rsidRDefault="002135E4" w:rsidP="002135E4">
            <w:pPr>
              <w:spacing w:line="240" w:lineRule="auto"/>
              <w:ind w:left="0" w:firstLineChars="400" w:firstLine="8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65 Prihodi od upravnih administrativnih pristojbi, pristojbi po posebnim propisima </w:t>
            </w:r>
            <w:r w:rsidRPr="00523D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</w:p>
          <w:p w14:paraId="06C4BA04" w14:textId="039AF986" w:rsidR="002135E4" w:rsidRPr="002135E4" w:rsidRDefault="002135E4" w:rsidP="002135E4">
            <w:pPr>
              <w:spacing w:line="240" w:lineRule="auto"/>
              <w:ind w:left="0" w:firstLineChars="400" w:firstLine="8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i naknada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4420D5F0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15.160,43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3ABC31A7" w14:textId="4298EB53" w:rsidR="002135E4" w:rsidRPr="002135E4" w:rsidRDefault="000F5B4E" w:rsidP="000F5B4E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  <w:r w:rsidR="002135E4"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000</w:t>
            </w:r>
            <w:r w:rsidR="002135E4"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60C9A8DC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17.730,00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335FEDEB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17.730,00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371CBA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17.730,00</w:t>
            </w:r>
          </w:p>
        </w:tc>
      </w:tr>
      <w:tr w:rsidR="00637243" w:rsidRPr="002135E4" w14:paraId="72EB2FEB" w14:textId="77777777" w:rsidTr="002135E4">
        <w:trPr>
          <w:trHeight w:val="2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27453D2F" w14:textId="77777777" w:rsidR="00637243" w:rsidRPr="002135E4" w:rsidRDefault="00637243" w:rsidP="00637243">
            <w:pPr>
              <w:spacing w:line="240" w:lineRule="auto"/>
              <w:ind w:left="0" w:firstLineChars="400" w:firstLine="8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67 Prihodi iz nadležnog proračuna i od HZZO-a na temelju ugovornih obveza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2648E9A6" w14:textId="77777777" w:rsidR="00637243" w:rsidRPr="002135E4" w:rsidRDefault="00637243" w:rsidP="00637243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154.080,74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56385A46" w14:textId="5DDD4253" w:rsidR="00637243" w:rsidRPr="002135E4" w:rsidRDefault="000F5B4E" w:rsidP="000F5B4E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215</w:t>
            </w:r>
            <w:r w:rsidR="00637243"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903</w:t>
            </w:r>
            <w:r w:rsidR="00637243"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4AEC0885" w14:textId="6EEF2B84" w:rsidR="00637243" w:rsidRPr="002135E4" w:rsidRDefault="00637243" w:rsidP="00637243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186</w:t>
            </w: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720</w:t>
            </w: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5C0FAF08" w14:textId="75A95E71" w:rsidR="00637243" w:rsidRPr="002135E4" w:rsidRDefault="00637243" w:rsidP="00637243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186</w:t>
            </w: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720</w:t>
            </w: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0BAA224" w14:textId="2E02BF7B" w:rsidR="00637243" w:rsidRPr="002135E4" w:rsidRDefault="00637243" w:rsidP="00637243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186</w:t>
            </w: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720</w:t>
            </w: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</w:tr>
      <w:tr w:rsidR="002135E4" w:rsidRPr="002135E4" w14:paraId="3DFEAED9" w14:textId="77777777" w:rsidTr="002135E4">
        <w:trPr>
          <w:trHeight w:val="2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10C4D3D7" w14:textId="77777777" w:rsidR="002135E4" w:rsidRPr="002135E4" w:rsidRDefault="002135E4" w:rsidP="002135E4">
            <w:pPr>
              <w:spacing w:line="240" w:lineRule="auto"/>
              <w:ind w:left="0" w:firstLineChars="400" w:firstLine="8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68 Kazne, upravne mjere i ostali prihodi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69FF9ECB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48,36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E7BBAB9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3BB7110A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915918F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7E0E7D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100,00</w:t>
            </w:r>
          </w:p>
        </w:tc>
      </w:tr>
      <w:tr w:rsidR="002135E4" w:rsidRPr="002135E4" w14:paraId="4E9D2F45" w14:textId="77777777" w:rsidTr="002135E4">
        <w:trPr>
          <w:trHeight w:val="2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  <w:hideMark/>
          </w:tcPr>
          <w:p w14:paraId="5A193F33" w14:textId="77777777" w:rsidR="002135E4" w:rsidRPr="002135E4" w:rsidRDefault="002135E4" w:rsidP="002135E4">
            <w:pPr>
              <w:spacing w:line="240" w:lineRule="auto"/>
              <w:ind w:left="0" w:firstLineChars="400" w:firstLine="8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7 Prihodi od prodaje nefinancijske imovine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  <w:hideMark/>
          </w:tcPr>
          <w:p w14:paraId="159A69FC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604,90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  <w:hideMark/>
          </w:tcPr>
          <w:p w14:paraId="5FE0B5F2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  <w:hideMark/>
          </w:tcPr>
          <w:p w14:paraId="4AB0F71B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  <w:hideMark/>
          </w:tcPr>
          <w:p w14:paraId="020499C2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058B5DE1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2135E4" w:rsidRPr="002135E4" w14:paraId="3D03070A" w14:textId="77777777" w:rsidTr="002135E4">
        <w:trPr>
          <w:trHeight w:val="2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F2B532E" w14:textId="77777777" w:rsidR="002135E4" w:rsidRPr="002135E4" w:rsidRDefault="002135E4" w:rsidP="002135E4">
            <w:pPr>
              <w:spacing w:line="240" w:lineRule="auto"/>
              <w:ind w:left="0" w:firstLineChars="400" w:firstLine="8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3C22F68F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604,90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2459A6B0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1E5C8681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5EA0D129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A850AFA" w14:textId="77777777" w:rsidR="002135E4" w:rsidRPr="002135E4" w:rsidRDefault="002135E4" w:rsidP="002135E4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35E4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</w:tbl>
    <w:p w14:paraId="0F07AF26" w14:textId="1B5BBDBC" w:rsidR="001D1EE2" w:rsidRDefault="001D1EE2" w:rsidP="001D1EE2">
      <w:pPr>
        <w:spacing w:line="240" w:lineRule="auto"/>
        <w:jc w:val="both"/>
        <w:rPr>
          <w:iCs/>
        </w:rPr>
      </w:pPr>
    </w:p>
    <w:p w14:paraId="298A8B3F" w14:textId="77777777" w:rsidR="001D1EE2" w:rsidRPr="001D1EE2" w:rsidRDefault="001D1EE2" w:rsidP="001D1EE2">
      <w:pPr>
        <w:spacing w:line="240" w:lineRule="auto"/>
        <w:jc w:val="both"/>
        <w:rPr>
          <w:iCs/>
        </w:rPr>
      </w:pPr>
    </w:p>
    <w:p w14:paraId="1DE228CD" w14:textId="510DC113" w:rsidR="002135E4" w:rsidRPr="0058040B" w:rsidRDefault="002135E4" w:rsidP="002135E4">
      <w:pPr>
        <w:pStyle w:val="ListParagraph"/>
        <w:numPr>
          <w:ilvl w:val="0"/>
          <w:numId w:val="18"/>
        </w:numPr>
        <w:spacing w:line="240" w:lineRule="auto"/>
        <w:jc w:val="both"/>
        <w:rPr>
          <w:iCs/>
        </w:rPr>
      </w:pPr>
      <w:r w:rsidRPr="0058040B">
        <w:rPr>
          <w:iCs/>
        </w:rPr>
        <w:t>63 Pomoći iz inozemstva i od subjekata unutar opće države obuhvaćaju prihode nadležnog ministarstva –  prihodi se odnose za plaće zaposlenicima, naknadu za nezapošljavanje osoba s invaliditetom, sufinanciranje cijene prijevoza, prihode za besplatni obrok u školama, rashode za radne udžbenike i menstrualne higijenske potrepštine, kapitalne pomoći iz državnog proračuna proračunskim korisnicima proračuna JLP(R)S za opremanje škole.</w:t>
      </w:r>
    </w:p>
    <w:p w14:paraId="084402F0" w14:textId="77777777" w:rsidR="002135E4" w:rsidRPr="0058040B" w:rsidRDefault="002135E4" w:rsidP="002135E4">
      <w:pPr>
        <w:pStyle w:val="ListParagraph"/>
        <w:numPr>
          <w:ilvl w:val="0"/>
          <w:numId w:val="18"/>
        </w:numPr>
        <w:spacing w:line="240" w:lineRule="auto"/>
        <w:jc w:val="both"/>
        <w:rPr>
          <w:iCs/>
        </w:rPr>
      </w:pPr>
      <w:r w:rsidRPr="0058040B">
        <w:rPr>
          <w:iCs/>
        </w:rPr>
        <w:t>64 Prihodi od financijske imovine – odnose se na kamate na depozite po viđenju</w:t>
      </w:r>
    </w:p>
    <w:p w14:paraId="34316916" w14:textId="06D3AE75" w:rsidR="002135E4" w:rsidRPr="0058040B" w:rsidRDefault="002135E4" w:rsidP="002135E4">
      <w:pPr>
        <w:pStyle w:val="ListParagraph"/>
        <w:numPr>
          <w:ilvl w:val="0"/>
          <w:numId w:val="18"/>
        </w:numPr>
        <w:spacing w:line="240" w:lineRule="auto"/>
        <w:jc w:val="both"/>
        <w:rPr>
          <w:iCs/>
        </w:rPr>
      </w:pPr>
      <w:r w:rsidRPr="0058040B">
        <w:rPr>
          <w:iCs/>
        </w:rPr>
        <w:t>65 Prihodi od upravnih i administrativnih pristojbi –  Odnose se na uplatu roditelja za projekt Produženi boravak</w:t>
      </w:r>
    </w:p>
    <w:p w14:paraId="1EFE7FE7" w14:textId="4210608D" w:rsidR="002135E4" w:rsidRPr="0058040B" w:rsidRDefault="002135E4" w:rsidP="002135E4">
      <w:pPr>
        <w:pStyle w:val="ListParagraph"/>
        <w:numPr>
          <w:ilvl w:val="0"/>
          <w:numId w:val="18"/>
        </w:numPr>
        <w:spacing w:line="240" w:lineRule="auto"/>
        <w:jc w:val="both"/>
        <w:rPr>
          <w:iCs/>
        </w:rPr>
      </w:pPr>
      <w:r w:rsidRPr="0058040B">
        <w:rPr>
          <w:iCs/>
        </w:rPr>
        <w:t>67</w:t>
      </w:r>
      <w:r w:rsidRPr="0058040B">
        <w:t xml:space="preserve"> </w:t>
      </w:r>
      <w:r w:rsidRPr="0058040B">
        <w:rPr>
          <w:iCs/>
        </w:rPr>
        <w:t>Prihodi iz nadležnog proračuna i od HZZO-a temeljem ugovornih obveza – odnose se na prihode koji pokrivaju troškove projekata koji se financiraju iz proračuna grada Dubrovnik, kao što su Produženi boravak, Stručno razvo</w:t>
      </w:r>
      <w:r>
        <w:rPr>
          <w:iCs/>
        </w:rPr>
        <w:t>jna služba, Asistent u nastavi,</w:t>
      </w:r>
      <w:r w:rsidRPr="0058040B">
        <w:rPr>
          <w:iCs/>
        </w:rPr>
        <w:t xml:space="preserve"> kao i za financiranje Materijalnih i financijskih rashoda </w:t>
      </w:r>
    </w:p>
    <w:p w14:paraId="247D7EE3" w14:textId="5F30EFF6" w:rsidR="002135E4" w:rsidRDefault="002135E4" w:rsidP="002135E4">
      <w:pPr>
        <w:pStyle w:val="ListParagraph"/>
        <w:numPr>
          <w:ilvl w:val="0"/>
          <w:numId w:val="18"/>
        </w:numPr>
        <w:spacing w:line="240" w:lineRule="auto"/>
        <w:jc w:val="both"/>
        <w:rPr>
          <w:iCs/>
        </w:rPr>
      </w:pPr>
      <w:r w:rsidRPr="0058040B">
        <w:rPr>
          <w:iCs/>
        </w:rPr>
        <w:t>72 Prihodi od prodaje proizvedene dugotrajne imovine – Odnose se na prihode od stambene imovine.</w:t>
      </w:r>
    </w:p>
    <w:p w14:paraId="73729613" w14:textId="612D66E5" w:rsidR="001D1EE2" w:rsidRDefault="001D1EE2" w:rsidP="001D1EE2">
      <w:pPr>
        <w:spacing w:line="240" w:lineRule="auto"/>
        <w:jc w:val="both"/>
        <w:rPr>
          <w:iCs/>
        </w:rPr>
      </w:pPr>
    </w:p>
    <w:p w14:paraId="25D142D9" w14:textId="35CCF9AB" w:rsidR="001D1EE2" w:rsidRDefault="001D1EE2" w:rsidP="001D1EE2">
      <w:pPr>
        <w:spacing w:line="240" w:lineRule="auto"/>
        <w:jc w:val="both"/>
        <w:rPr>
          <w:iCs/>
        </w:rPr>
      </w:pPr>
    </w:p>
    <w:p w14:paraId="1392F808" w14:textId="5BE61749" w:rsidR="001D1EE2" w:rsidRDefault="001D1EE2" w:rsidP="001D1EE2">
      <w:pPr>
        <w:spacing w:line="240" w:lineRule="auto"/>
        <w:jc w:val="both"/>
        <w:rPr>
          <w:iCs/>
        </w:rPr>
      </w:pPr>
    </w:p>
    <w:p w14:paraId="25184248" w14:textId="77777777" w:rsidR="001D1EE2" w:rsidRPr="001D1EE2" w:rsidRDefault="001D1EE2" w:rsidP="001D1EE2">
      <w:pPr>
        <w:spacing w:line="240" w:lineRule="auto"/>
        <w:jc w:val="both"/>
        <w:rPr>
          <w:iCs/>
        </w:rPr>
      </w:pPr>
    </w:p>
    <w:p w14:paraId="1640F1B3" w14:textId="49DEE7B7" w:rsidR="002135E4" w:rsidRDefault="002135E4" w:rsidP="002135E4">
      <w:pPr>
        <w:spacing w:line="240" w:lineRule="auto"/>
        <w:jc w:val="both"/>
        <w:rPr>
          <w:iCs/>
        </w:rPr>
      </w:pPr>
    </w:p>
    <w:p w14:paraId="076C45DB" w14:textId="1C65B39E" w:rsidR="002135E4" w:rsidRDefault="002135E4" w:rsidP="002135E4">
      <w:pPr>
        <w:spacing w:line="240" w:lineRule="auto"/>
        <w:jc w:val="both"/>
        <w:rPr>
          <w:iCs/>
        </w:rPr>
      </w:pPr>
    </w:p>
    <w:p w14:paraId="46DC15DA" w14:textId="77777777" w:rsidR="002135E4" w:rsidRPr="0058040B" w:rsidRDefault="002135E4" w:rsidP="002135E4">
      <w:pPr>
        <w:rPr>
          <w:b/>
        </w:rPr>
      </w:pPr>
      <w:r w:rsidRPr="0058040B">
        <w:rPr>
          <w:b/>
        </w:rPr>
        <w:t>OBRAZLOŽENJE RASHODA</w:t>
      </w:r>
    </w:p>
    <w:p w14:paraId="043F20B8" w14:textId="77777777" w:rsidR="002135E4" w:rsidRPr="0058040B" w:rsidRDefault="002135E4" w:rsidP="002135E4">
      <w:pPr>
        <w:jc w:val="both"/>
        <w:rPr>
          <w:iCs/>
        </w:rPr>
      </w:pPr>
      <w:r w:rsidRPr="0058040B">
        <w:rPr>
          <w:iCs/>
        </w:rPr>
        <w:t>Rashodi iz nadležnog proračuna ostvaruju se prema planiranim prihodima i zadanim limitima kroz pripadajuće izvore financiranja po programima.</w:t>
      </w:r>
    </w:p>
    <w:p w14:paraId="04A872D1" w14:textId="352193C3" w:rsidR="002135E4" w:rsidRDefault="002135E4" w:rsidP="002135E4">
      <w:pPr>
        <w:spacing w:line="240" w:lineRule="auto"/>
        <w:jc w:val="both"/>
        <w:rPr>
          <w:iCs/>
        </w:rPr>
      </w:pPr>
    </w:p>
    <w:p w14:paraId="642E6333" w14:textId="20FAE810" w:rsidR="002135E4" w:rsidRDefault="002135E4" w:rsidP="002135E4">
      <w:pPr>
        <w:spacing w:line="240" w:lineRule="auto"/>
        <w:jc w:val="both"/>
        <w:rPr>
          <w:iCs/>
        </w:rPr>
      </w:pPr>
    </w:p>
    <w:p w14:paraId="54A56EA0" w14:textId="3E115B5B" w:rsidR="002135E4" w:rsidRDefault="002135E4" w:rsidP="002135E4">
      <w:pPr>
        <w:spacing w:line="240" w:lineRule="auto"/>
        <w:jc w:val="both"/>
        <w:rPr>
          <w:b/>
        </w:rPr>
      </w:pPr>
      <w:r w:rsidRPr="0058040B">
        <w:rPr>
          <w:b/>
        </w:rPr>
        <w:t>RASHODI POSLOVANJA PREMA EKONOMSKOJ KLASIFIKACIJI</w:t>
      </w:r>
    </w:p>
    <w:p w14:paraId="3AEA8874" w14:textId="77777777" w:rsidR="002135E4" w:rsidRPr="002135E4" w:rsidRDefault="002135E4" w:rsidP="002135E4">
      <w:pPr>
        <w:spacing w:line="240" w:lineRule="auto"/>
        <w:jc w:val="both"/>
        <w:rPr>
          <w:iCs/>
        </w:rPr>
      </w:pPr>
    </w:p>
    <w:tbl>
      <w:tblPr>
        <w:tblW w:w="14720" w:type="dxa"/>
        <w:tblLook w:val="04A0" w:firstRow="1" w:lastRow="0" w:firstColumn="1" w:lastColumn="0" w:noHBand="0" w:noVBand="1"/>
      </w:tblPr>
      <w:tblGrid>
        <w:gridCol w:w="7920"/>
        <w:gridCol w:w="1360"/>
        <w:gridCol w:w="1360"/>
        <w:gridCol w:w="1360"/>
        <w:gridCol w:w="1360"/>
        <w:gridCol w:w="1360"/>
      </w:tblGrid>
      <w:tr w:rsidR="001D1EE2" w:rsidRPr="001D1EE2" w14:paraId="7CA8F3C3" w14:textId="77777777" w:rsidTr="001D1EE2">
        <w:trPr>
          <w:trHeight w:val="5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EA570" w14:textId="77777777" w:rsidR="001D1EE2" w:rsidRPr="001D1EE2" w:rsidRDefault="001D1EE2" w:rsidP="001D1EE2">
            <w:pPr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BROJČANA OZNAKA I NAZIV RAČUNA PRIHODA I RAHODA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D993A" w14:textId="77777777" w:rsidR="001D1EE2" w:rsidRPr="001D1EE2" w:rsidRDefault="001D1EE2" w:rsidP="001D1EE2">
            <w:pPr>
              <w:spacing w:line="240" w:lineRule="auto"/>
              <w:ind w:left="0" w:firstLineChars="100" w:firstLine="2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Ostvarenje 2024.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BE9E2" w14:textId="77777777" w:rsidR="001D1EE2" w:rsidRPr="001D1EE2" w:rsidRDefault="001D1EE2" w:rsidP="001D1EE2">
            <w:pPr>
              <w:spacing w:line="240" w:lineRule="auto"/>
              <w:ind w:left="0" w:firstLineChars="100" w:firstLine="2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Plan 2025.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87C8F" w14:textId="77777777" w:rsidR="001D1EE2" w:rsidRPr="001D1EE2" w:rsidRDefault="001D1EE2" w:rsidP="001D1EE2">
            <w:pPr>
              <w:spacing w:line="240" w:lineRule="auto"/>
              <w:ind w:left="0" w:firstLineChars="100" w:firstLine="2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Plan 2026.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F64B8" w14:textId="77777777" w:rsidR="001D1EE2" w:rsidRPr="001D1EE2" w:rsidRDefault="001D1EE2" w:rsidP="001D1EE2">
            <w:pPr>
              <w:spacing w:line="240" w:lineRule="auto"/>
              <w:ind w:left="0" w:firstLineChars="100" w:firstLine="2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Plan 2027.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E0D5" w14:textId="77777777" w:rsidR="001D1EE2" w:rsidRPr="001D1EE2" w:rsidRDefault="001D1EE2" w:rsidP="001D1EE2">
            <w:pPr>
              <w:spacing w:line="240" w:lineRule="auto"/>
              <w:ind w:left="0" w:firstLineChars="100" w:firstLine="2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Plan 2028.</w:t>
            </w:r>
          </w:p>
        </w:tc>
      </w:tr>
      <w:tr w:rsidR="00F70258" w:rsidRPr="001D1EE2" w14:paraId="6D500EEE" w14:textId="77777777" w:rsidTr="001D1EE2">
        <w:trPr>
          <w:trHeight w:val="2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  <w:hideMark/>
          </w:tcPr>
          <w:p w14:paraId="789C7C5E" w14:textId="77777777" w:rsidR="00F70258" w:rsidRPr="001D1EE2" w:rsidRDefault="00F70258" w:rsidP="00F70258">
            <w:pPr>
              <w:spacing w:line="240" w:lineRule="auto"/>
              <w:ind w:left="0" w:firstLineChars="400" w:firstLine="8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  <w:hideMark/>
          </w:tcPr>
          <w:p w14:paraId="265C1E28" w14:textId="77777777" w:rsidR="00F70258" w:rsidRPr="001D1EE2" w:rsidRDefault="00F70258" w:rsidP="00F70258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1.152.942,72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  <w:hideMark/>
          </w:tcPr>
          <w:p w14:paraId="36FDAFAF" w14:textId="5E4993C6" w:rsidR="00F70258" w:rsidRPr="001D1EE2" w:rsidRDefault="00F70258" w:rsidP="00881C91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  <w:r w:rsidR="00881C91">
              <w:rPr>
                <w:rFonts w:ascii="Calibri" w:hAnsi="Calibri" w:cs="Calibri"/>
                <w:b/>
                <w:bCs/>
                <w:sz w:val="20"/>
                <w:szCs w:val="20"/>
              </w:rPr>
              <w:t>407</w:t>
            </w: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881C91">
              <w:rPr>
                <w:rFonts w:ascii="Calibri" w:hAnsi="Calibri" w:cs="Calibri"/>
                <w:b/>
                <w:bCs/>
                <w:sz w:val="20"/>
                <w:szCs w:val="20"/>
              </w:rPr>
              <w:t>969</w:t>
            </w: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  <w:hideMark/>
          </w:tcPr>
          <w:p w14:paraId="3D49AD88" w14:textId="27419855" w:rsidR="00F70258" w:rsidRPr="001D1EE2" w:rsidRDefault="00F70258" w:rsidP="00F70258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1.3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</w:t>
            </w: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900</w:t>
            </w: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  <w:hideMark/>
          </w:tcPr>
          <w:p w14:paraId="4E9315E5" w14:textId="18E3BB53" w:rsidR="00F70258" w:rsidRPr="001D1EE2" w:rsidRDefault="00F70258" w:rsidP="00F70258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1.3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</w:t>
            </w: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900</w:t>
            </w: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7BBBC3B6" w14:textId="20727AB8" w:rsidR="00F70258" w:rsidRPr="001D1EE2" w:rsidRDefault="00F70258" w:rsidP="00F70258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1.3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</w:t>
            </w: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900</w:t>
            </w: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</w:tr>
      <w:tr w:rsidR="001D1EE2" w:rsidRPr="001D1EE2" w14:paraId="4D4834F5" w14:textId="77777777" w:rsidTr="001D1EE2">
        <w:trPr>
          <w:trHeight w:val="2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3359BD5E" w14:textId="77777777" w:rsidR="001D1EE2" w:rsidRPr="001D1EE2" w:rsidRDefault="001D1EE2" w:rsidP="001D1EE2">
            <w:pPr>
              <w:spacing w:line="240" w:lineRule="auto"/>
              <w:ind w:left="0" w:firstLineChars="400" w:firstLine="8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14C29133" w14:textId="77777777" w:rsidR="001D1EE2" w:rsidRPr="001D1EE2" w:rsidRDefault="001D1EE2" w:rsidP="001D1EE2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970.532,86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7490109" w14:textId="1B50F34B" w:rsidR="001D1EE2" w:rsidRPr="001D1EE2" w:rsidRDefault="001D1EE2" w:rsidP="00881C91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881C91">
              <w:rPr>
                <w:rFonts w:ascii="Calibri" w:hAnsi="Calibri" w:cs="Calibri"/>
                <w:b/>
                <w:bCs/>
                <w:sz w:val="20"/>
                <w:szCs w:val="20"/>
              </w:rPr>
              <w:t>.152</w:t>
            </w: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881C91">
              <w:rPr>
                <w:rFonts w:ascii="Calibri" w:hAnsi="Calibri" w:cs="Calibri"/>
                <w:b/>
                <w:bCs/>
                <w:sz w:val="20"/>
                <w:szCs w:val="20"/>
              </w:rPr>
              <w:t>426</w:t>
            </w: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16B96FE4" w14:textId="77777777" w:rsidR="001D1EE2" w:rsidRPr="001D1EE2" w:rsidRDefault="001D1EE2" w:rsidP="001D1EE2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1.140.250,00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63064B74" w14:textId="77777777" w:rsidR="001D1EE2" w:rsidRPr="001D1EE2" w:rsidRDefault="001D1EE2" w:rsidP="001D1EE2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1.140.250,00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8981E1" w14:textId="77777777" w:rsidR="001D1EE2" w:rsidRPr="001D1EE2" w:rsidRDefault="001D1EE2" w:rsidP="001D1EE2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1.140.250,00</w:t>
            </w:r>
          </w:p>
        </w:tc>
      </w:tr>
      <w:tr w:rsidR="00F70258" w:rsidRPr="001D1EE2" w14:paraId="0EED598E" w14:textId="77777777" w:rsidTr="001D1EE2">
        <w:trPr>
          <w:trHeight w:val="2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662478E3" w14:textId="77777777" w:rsidR="00F70258" w:rsidRPr="001D1EE2" w:rsidRDefault="00F70258" w:rsidP="00F70258">
            <w:pPr>
              <w:spacing w:line="240" w:lineRule="auto"/>
              <w:ind w:left="0" w:firstLineChars="400" w:firstLine="8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203E8D29" w14:textId="77777777" w:rsidR="00F70258" w:rsidRPr="001D1EE2" w:rsidRDefault="00F70258" w:rsidP="00F70258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164.634,94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1ABA1891" w14:textId="64549E7F" w:rsidR="00F70258" w:rsidRPr="001D1EE2" w:rsidRDefault="00881C91" w:rsidP="00881C91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208</w:t>
            </w:r>
            <w:r w:rsidR="00F70258"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697</w:t>
            </w:r>
            <w:r w:rsidR="00F70258"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04D2EC4" w14:textId="1868D84F" w:rsidR="00F70258" w:rsidRPr="001D1EE2" w:rsidRDefault="00F70258" w:rsidP="00F70258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185.880,00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5C0808F7" w14:textId="14A35207" w:rsidR="00F70258" w:rsidRPr="001D1EE2" w:rsidRDefault="00F70258" w:rsidP="00F70258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185.880,00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4CDDFF" w14:textId="70357C08" w:rsidR="00F70258" w:rsidRPr="001D1EE2" w:rsidRDefault="00F70258" w:rsidP="00F70258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185.880,00</w:t>
            </w:r>
          </w:p>
        </w:tc>
      </w:tr>
      <w:tr w:rsidR="001D1EE2" w:rsidRPr="001D1EE2" w14:paraId="6414D756" w14:textId="77777777" w:rsidTr="001D1EE2">
        <w:trPr>
          <w:trHeight w:val="2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42914EDD" w14:textId="77777777" w:rsidR="001D1EE2" w:rsidRPr="001D1EE2" w:rsidRDefault="001D1EE2" w:rsidP="001D1EE2">
            <w:pPr>
              <w:spacing w:line="240" w:lineRule="auto"/>
              <w:ind w:left="0" w:firstLineChars="400" w:firstLine="8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5B8B498D" w14:textId="77777777" w:rsidR="001D1EE2" w:rsidRPr="001D1EE2" w:rsidRDefault="001D1EE2" w:rsidP="001D1EE2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1.150,00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9919B30" w14:textId="79B230AC" w:rsidR="001D1EE2" w:rsidRPr="001D1EE2" w:rsidRDefault="001D1EE2" w:rsidP="00881C91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881C91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31FB48AB" w14:textId="77777777" w:rsidR="001D1EE2" w:rsidRPr="001D1EE2" w:rsidRDefault="001D1EE2" w:rsidP="001D1EE2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101FA5DC" w14:textId="77777777" w:rsidR="001D1EE2" w:rsidRPr="001D1EE2" w:rsidRDefault="001D1EE2" w:rsidP="001D1EE2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2AA551" w14:textId="77777777" w:rsidR="001D1EE2" w:rsidRPr="001D1EE2" w:rsidRDefault="001D1EE2" w:rsidP="001D1EE2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100,00</w:t>
            </w:r>
          </w:p>
        </w:tc>
      </w:tr>
      <w:tr w:rsidR="001D1EE2" w:rsidRPr="001D1EE2" w14:paraId="52720283" w14:textId="77777777" w:rsidTr="001D1EE2">
        <w:trPr>
          <w:trHeight w:val="2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E95DFF4" w14:textId="77777777" w:rsidR="001D1EE2" w:rsidRPr="001D1EE2" w:rsidRDefault="001D1EE2" w:rsidP="001D1EE2">
            <w:pPr>
              <w:spacing w:line="240" w:lineRule="auto"/>
              <w:ind w:left="0" w:firstLineChars="400" w:firstLine="8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26BD41B9" w14:textId="77777777" w:rsidR="001D1EE2" w:rsidRPr="001D1EE2" w:rsidRDefault="001D1EE2" w:rsidP="001D1EE2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16.096,92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458F24E2" w14:textId="2C85C120" w:rsidR="001D1EE2" w:rsidRPr="001D1EE2" w:rsidRDefault="00881C91" w:rsidP="00881C91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  <w:r w:rsidR="001D1EE2"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006</w:t>
            </w:r>
            <w:r w:rsidR="001D1EE2"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1F86C14E" w14:textId="77777777" w:rsidR="001D1EE2" w:rsidRPr="001D1EE2" w:rsidRDefault="001D1EE2" w:rsidP="001D1EE2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FB28097" w14:textId="77777777" w:rsidR="001D1EE2" w:rsidRPr="001D1EE2" w:rsidRDefault="001D1EE2" w:rsidP="001D1EE2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FBDD9F" w14:textId="77777777" w:rsidR="001D1EE2" w:rsidRPr="001D1EE2" w:rsidRDefault="001D1EE2" w:rsidP="001D1EE2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2.000,00</w:t>
            </w:r>
          </w:p>
        </w:tc>
      </w:tr>
      <w:tr w:rsidR="001D1EE2" w:rsidRPr="001D1EE2" w14:paraId="604A1BDA" w14:textId="77777777" w:rsidTr="001D1EE2">
        <w:trPr>
          <w:trHeight w:val="2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AD74F0D" w14:textId="77777777" w:rsidR="001D1EE2" w:rsidRPr="001D1EE2" w:rsidRDefault="001D1EE2" w:rsidP="001D1EE2">
            <w:pPr>
              <w:spacing w:line="240" w:lineRule="auto"/>
              <w:ind w:left="0" w:firstLineChars="400" w:firstLine="8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38 Ostali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3100A268" w14:textId="77777777" w:rsidR="001D1EE2" w:rsidRPr="001D1EE2" w:rsidRDefault="001D1EE2" w:rsidP="001D1EE2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528,00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0632CDA" w14:textId="77777777" w:rsidR="001D1EE2" w:rsidRPr="001D1EE2" w:rsidRDefault="001D1EE2" w:rsidP="001D1EE2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7BC5C17" w14:textId="77777777" w:rsidR="001D1EE2" w:rsidRPr="001D1EE2" w:rsidRDefault="001D1EE2" w:rsidP="001D1EE2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1025E7B4" w14:textId="77777777" w:rsidR="001D1EE2" w:rsidRPr="001D1EE2" w:rsidRDefault="001D1EE2" w:rsidP="001D1EE2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936A44F" w14:textId="77777777" w:rsidR="001D1EE2" w:rsidRPr="001D1EE2" w:rsidRDefault="001D1EE2" w:rsidP="001D1EE2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600,00</w:t>
            </w:r>
          </w:p>
        </w:tc>
      </w:tr>
      <w:tr w:rsidR="001D1EE2" w:rsidRPr="001D1EE2" w14:paraId="53EE997B" w14:textId="77777777" w:rsidTr="001D1EE2">
        <w:trPr>
          <w:trHeight w:val="2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161B5A08" w14:textId="77777777" w:rsidR="001D1EE2" w:rsidRPr="001D1EE2" w:rsidRDefault="001D1EE2" w:rsidP="001D1EE2">
            <w:pPr>
              <w:spacing w:line="240" w:lineRule="auto"/>
              <w:ind w:left="0" w:firstLineChars="400" w:firstLine="8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3259A499" w14:textId="77777777" w:rsidR="001D1EE2" w:rsidRPr="001D1EE2" w:rsidRDefault="001D1EE2" w:rsidP="001D1EE2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D1EE2">
              <w:rPr>
                <w:rFonts w:ascii="Calibri" w:hAnsi="Calibri" w:cs="Calibri"/>
                <w:sz w:val="20"/>
                <w:szCs w:val="20"/>
              </w:rPr>
              <w:t>18.238,57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340C4432" w14:textId="77777777" w:rsidR="001D1EE2" w:rsidRPr="001D1EE2" w:rsidRDefault="001D1EE2" w:rsidP="001D1EE2">
            <w:pPr>
              <w:spacing w:line="240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1D1EE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55A0F7FF" w14:textId="77777777" w:rsidR="001D1EE2" w:rsidRPr="001D1EE2" w:rsidRDefault="001D1EE2" w:rsidP="001D1EE2">
            <w:pPr>
              <w:spacing w:line="240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1D1EE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1B56D691" w14:textId="77777777" w:rsidR="001D1EE2" w:rsidRPr="001D1EE2" w:rsidRDefault="001D1EE2" w:rsidP="001D1EE2">
            <w:pPr>
              <w:spacing w:line="240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1D1EE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7245D9" w14:textId="77777777" w:rsidR="001D1EE2" w:rsidRPr="001D1EE2" w:rsidRDefault="001D1EE2" w:rsidP="001D1EE2">
            <w:pPr>
              <w:spacing w:line="240" w:lineRule="auto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1D1EE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70258" w:rsidRPr="001D1EE2" w14:paraId="26C4C96A" w14:textId="77777777" w:rsidTr="001D1EE2">
        <w:trPr>
          <w:trHeight w:val="25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382E312" w14:textId="77777777" w:rsidR="00F70258" w:rsidRPr="001D1EE2" w:rsidRDefault="00F70258" w:rsidP="00F70258">
            <w:pPr>
              <w:spacing w:line="240" w:lineRule="auto"/>
              <w:ind w:left="0" w:firstLineChars="400" w:firstLine="8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4F4DE5C8" w14:textId="77777777" w:rsidR="00F70258" w:rsidRPr="001D1EE2" w:rsidRDefault="00F70258" w:rsidP="00F70258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18.238,57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A7504FE" w14:textId="1BA81947" w:rsidR="00F70258" w:rsidRPr="001D1EE2" w:rsidRDefault="000F5B4E" w:rsidP="00881C91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881C91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="00F70258"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881C91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F70258"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64D6E38" w14:textId="7EE3FA8E" w:rsidR="00F70258" w:rsidRPr="001D1EE2" w:rsidRDefault="00F70258" w:rsidP="00F70258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.070,00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138A548E" w14:textId="38C3EFA0" w:rsidR="00F70258" w:rsidRPr="001D1EE2" w:rsidRDefault="00F70258" w:rsidP="00F70258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.070,00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CDA88F4" w14:textId="44023855" w:rsidR="00F70258" w:rsidRPr="001D1EE2" w:rsidRDefault="00F70258" w:rsidP="00F70258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1D1EE2">
              <w:rPr>
                <w:rFonts w:ascii="Calibri" w:hAnsi="Calibri" w:cs="Calibri"/>
                <w:b/>
                <w:bCs/>
                <w:sz w:val="20"/>
                <w:szCs w:val="20"/>
              </w:rPr>
              <w:t>.070,00</w:t>
            </w:r>
          </w:p>
        </w:tc>
      </w:tr>
    </w:tbl>
    <w:p w14:paraId="460D5E83" w14:textId="2AB79834" w:rsidR="004D4A50" w:rsidRDefault="004D4A50" w:rsidP="00FD22E9">
      <w:pPr>
        <w:jc w:val="both"/>
        <w:rPr>
          <w:iCs/>
        </w:rPr>
      </w:pPr>
    </w:p>
    <w:p w14:paraId="1D7E5487" w14:textId="77777777" w:rsidR="001D1EE2" w:rsidRPr="0058040B" w:rsidRDefault="001D1EE2" w:rsidP="001D1EE2">
      <w:pPr>
        <w:jc w:val="both"/>
        <w:rPr>
          <w:iCs/>
        </w:rPr>
      </w:pPr>
    </w:p>
    <w:p w14:paraId="127D85DA" w14:textId="77777777" w:rsidR="001D1EE2" w:rsidRPr="0058040B" w:rsidRDefault="001D1EE2" w:rsidP="001D1EE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eastAsiaTheme="minorEastAsia"/>
          <w:bCs/>
          <w14:ligatures w14:val="standardContextual"/>
        </w:rPr>
      </w:pPr>
      <w:r w:rsidRPr="0058040B">
        <w:rPr>
          <w:rFonts w:eastAsiaTheme="minorEastAsia"/>
          <w:bCs/>
          <w14:ligatures w14:val="standardContextual"/>
        </w:rPr>
        <w:t>31 Rashodi za zaposlene –  odnose se na rashode za plaće, ostale rashode za zaposlene i doprinose na plaće. Polazište za izračun su sredstva planirana tekućim proračunom za 2025. godinu, uzevši u obzir potencijalna povećanja plaća i materijalnih prava zaposlenih tijekom 2026. godine te potrebna sredstva za uvećanje za minimalni rad</w:t>
      </w:r>
      <w:bookmarkStart w:id="0" w:name="_GoBack"/>
      <w:bookmarkEnd w:id="0"/>
      <w:r w:rsidRPr="0058040B">
        <w:rPr>
          <w:rFonts w:eastAsiaTheme="minorEastAsia"/>
          <w:bCs/>
          <w14:ligatures w14:val="standardContextual"/>
        </w:rPr>
        <w:t xml:space="preserve"> svake godine. </w:t>
      </w:r>
    </w:p>
    <w:p w14:paraId="7484C89F" w14:textId="3AC16E49" w:rsidR="001D1EE2" w:rsidRPr="0058040B" w:rsidRDefault="001D1EE2" w:rsidP="001D1EE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eastAsiaTheme="minorEastAsia"/>
          <w:bCs/>
          <w14:ligatures w14:val="standardContextual"/>
        </w:rPr>
      </w:pPr>
      <w:r w:rsidRPr="0058040B">
        <w:rPr>
          <w:rFonts w:eastAsiaTheme="minorEastAsia"/>
          <w:bCs/>
          <w14:ligatures w14:val="standardContextual"/>
        </w:rPr>
        <w:t xml:space="preserve">32 Materijalni rashodi –  Materijalne rashode čine naknade troškova zaposlenima, rashodi za materijalnu energiju i usluge, rashodi za usluge, ostali nespomenuti rashodi poslovanja. </w:t>
      </w:r>
    </w:p>
    <w:p w14:paraId="25116018" w14:textId="77777777" w:rsidR="001D1EE2" w:rsidRPr="0058040B" w:rsidRDefault="001D1EE2" w:rsidP="001D1EE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eastAsiaTheme="minorEastAsia"/>
          <w:bCs/>
          <w14:ligatures w14:val="standardContextual"/>
        </w:rPr>
      </w:pPr>
      <w:r w:rsidRPr="0058040B">
        <w:rPr>
          <w:rFonts w:eastAsiaTheme="minorEastAsia"/>
          <w:bCs/>
          <w14:ligatures w14:val="standardContextual"/>
        </w:rPr>
        <w:t>34 Financijski rashodi – čine planirani troškovi za bankarske usluge</w:t>
      </w:r>
    </w:p>
    <w:p w14:paraId="26A03497" w14:textId="631584CD" w:rsidR="001D1EE2" w:rsidRPr="0058040B" w:rsidRDefault="001D1EE2" w:rsidP="001D1EE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eastAsiaTheme="minorEastAsia"/>
          <w:bCs/>
          <w14:ligatures w14:val="standardContextual"/>
        </w:rPr>
      </w:pPr>
      <w:r w:rsidRPr="0058040B">
        <w:rPr>
          <w:rFonts w:eastAsiaTheme="minorEastAsia"/>
          <w:bCs/>
          <w14:ligatures w14:val="standardContextual"/>
        </w:rPr>
        <w:t xml:space="preserve">37 Naknade građanima i kućanstvima na temelju osiguranja i druge naknade – uključuju rashode za </w:t>
      </w:r>
      <w:r w:rsidRPr="0058040B">
        <w:rPr>
          <w:color w:val="000000" w:themeColor="text1"/>
          <w:shd w:val="clear" w:color="auto" w:fill="FFFFFF"/>
        </w:rPr>
        <w:t>prijevoz učenika koji se financira iz proračuna grada Dubrovnika za posjete radionicama, kazališnim predstavama, posjete ustanovama u kulturi Grada Dubrovnika i slična događanja</w:t>
      </w:r>
    </w:p>
    <w:p w14:paraId="6B0E3D59" w14:textId="77777777" w:rsidR="001D1EE2" w:rsidRPr="0058040B" w:rsidRDefault="001D1EE2" w:rsidP="001D1EE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eastAsiaTheme="minorEastAsia"/>
          <w:bCs/>
          <w14:ligatures w14:val="standardContextual"/>
        </w:rPr>
      </w:pPr>
      <w:r w:rsidRPr="0058040B">
        <w:rPr>
          <w:rFonts w:eastAsiaTheme="minorEastAsia"/>
          <w:bCs/>
          <w14:ligatures w14:val="standardContextual"/>
        </w:rPr>
        <w:t xml:space="preserve">38 Tekuće donacije – uključuju rashode za nabavku zaliha besplatnih menstrualnih higijenskih potrepština u školama i skloništima za žene žrtve nasilja sukladno Odluci Ministarstva znanosti, obrazovanja i mladih. </w:t>
      </w:r>
    </w:p>
    <w:p w14:paraId="1C49EBD4" w14:textId="0C02F784" w:rsidR="004D4A50" w:rsidRDefault="001D1EE2" w:rsidP="002F0624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1D1EE2">
        <w:rPr>
          <w:rFonts w:eastAsiaTheme="minorEastAsia"/>
          <w:bCs/>
          <w14:ligatures w14:val="standardContextual"/>
        </w:rPr>
        <w:t xml:space="preserve">42 Rashodi za nabavu nefinancijske imovine –  rashodi za nabavu proizvedene dugotrajne imovine (opreme). Planirani su </w:t>
      </w:r>
      <w:r w:rsidRPr="001D1EE2">
        <w:rPr>
          <w:rFonts w:eastAsiaTheme="minorEastAsia"/>
          <w14:ligatures w14:val="standardContextual"/>
        </w:rPr>
        <w:t xml:space="preserve">u okviru dodijeljenih limita od strane nadležnog upravnog odjela. </w:t>
      </w:r>
    </w:p>
    <w:p w14:paraId="21A7F49E" w14:textId="1FBFB312" w:rsidR="004D4A50" w:rsidRDefault="004D4A50" w:rsidP="00FD22E9">
      <w:pPr>
        <w:jc w:val="both"/>
        <w:rPr>
          <w:iCs/>
        </w:rPr>
      </w:pPr>
    </w:p>
    <w:p w14:paraId="1845806D" w14:textId="6B8C7D7F" w:rsidR="004D4A50" w:rsidRDefault="004D4A50" w:rsidP="00FD22E9">
      <w:pPr>
        <w:jc w:val="both"/>
        <w:rPr>
          <w:iCs/>
        </w:rPr>
      </w:pPr>
    </w:p>
    <w:p w14:paraId="07B75FE2" w14:textId="2E187D48" w:rsidR="004D4A50" w:rsidRDefault="004D4A50" w:rsidP="00FD22E9">
      <w:pPr>
        <w:jc w:val="both"/>
        <w:rPr>
          <w:iCs/>
        </w:rPr>
      </w:pPr>
    </w:p>
    <w:p w14:paraId="7C8AEF78" w14:textId="7AFDD0C4" w:rsidR="004D4A50" w:rsidRDefault="004D4A50" w:rsidP="00FD22E9">
      <w:pPr>
        <w:jc w:val="both"/>
        <w:rPr>
          <w:iCs/>
        </w:rPr>
      </w:pPr>
    </w:p>
    <w:p w14:paraId="50FA36BC" w14:textId="77777777" w:rsidR="00122CE1" w:rsidRPr="0058040B" w:rsidRDefault="00122CE1" w:rsidP="00122CE1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  <w:r w:rsidRPr="0058040B">
        <w:rPr>
          <w:b/>
          <w:bCs/>
          <w:iCs/>
        </w:rPr>
        <w:t xml:space="preserve">PRIHODI </w:t>
      </w:r>
      <w:r>
        <w:rPr>
          <w:b/>
          <w:bCs/>
          <w:iCs/>
        </w:rPr>
        <w:t xml:space="preserve">I RASHODI </w:t>
      </w:r>
      <w:r w:rsidRPr="0058040B">
        <w:rPr>
          <w:b/>
          <w:bCs/>
          <w:iCs/>
        </w:rPr>
        <w:t>PREMA IZVORIMA FINANCIRANJA:</w:t>
      </w:r>
    </w:p>
    <w:p w14:paraId="2A12A44A" w14:textId="4640DBBE" w:rsidR="00122CE1" w:rsidRPr="0058040B" w:rsidRDefault="00122CE1" w:rsidP="00122CE1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58040B">
        <w:rPr>
          <w:iCs/>
        </w:rPr>
        <w:t>Izvor: 11  –  Opći prihodi i primici (</w:t>
      </w:r>
      <w:r w:rsidR="00581013">
        <w:rPr>
          <w:iCs/>
        </w:rPr>
        <w:t>95</w:t>
      </w:r>
      <w:r w:rsidRPr="0058040B">
        <w:rPr>
          <w:iCs/>
        </w:rPr>
        <w:t>.</w:t>
      </w:r>
      <w:r w:rsidR="00581013">
        <w:rPr>
          <w:iCs/>
        </w:rPr>
        <w:t>608</w:t>
      </w:r>
      <w:r w:rsidRPr="0058040B">
        <w:rPr>
          <w:iCs/>
        </w:rPr>
        <w:t>,00 eur</w:t>
      </w:r>
      <w:r>
        <w:rPr>
          <w:iCs/>
        </w:rPr>
        <w:t>a</w:t>
      </w:r>
      <w:r w:rsidRPr="0058040B">
        <w:rPr>
          <w:iCs/>
        </w:rPr>
        <w:t>)</w:t>
      </w:r>
    </w:p>
    <w:p w14:paraId="28356421" w14:textId="41CE56A1" w:rsidR="00122CE1" w:rsidRPr="0058040B" w:rsidRDefault="00122CE1" w:rsidP="00122CE1">
      <w:pPr>
        <w:widowControl w:val="0"/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Izvor: 3</w:t>
      </w:r>
      <w:r w:rsidRPr="0058040B">
        <w:rPr>
          <w:iCs/>
        </w:rPr>
        <w:t>1  –  Potpore za decentralizirane izdatke</w:t>
      </w:r>
      <w:r>
        <w:rPr>
          <w:iCs/>
        </w:rPr>
        <w:t xml:space="preserve"> (</w:t>
      </w:r>
      <w:r w:rsidRPr="0058040B">
        <w:rPr>
          <w:iCs/>
        </w:rPr>
        <w:t>6</w:t>
      </w:r>
      <w:r w:rsidR="00581013">
        <w:rPr>
          <w:iCs/>
        </w:rPr>
        <w:t>6</w:t>
      </w:r>
      <w:r w:rsidRPr="0058040B">
        <w:rPr>
          <w:iCs/>
        </w:rPr>
        <w:t>.000,00 eur</w:t>
      </w:r>
      <w:r>
        <w:rPr>
          <w:iCs/>
        </w:rPr>
        <w:t>a</w:t>
      </w:r>
      <w:r w:rsidRPr="0058040B">
        <w:rPr>
          <w:iCs/>
        </w:rPr>
        <w:t>)</w:t>
      </w:r>
    </w:p>
    <w:p w14:paraId="234F1723" w14:textId="77777777" w:rsidR="00122CE1" w:rsidRPr="0058040B" w:rsidRDefault="00122CE1" w:rsidP="00122CE1">
      <w:pPr>
        <w:widowControl w:val="0"/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Izvor: 4</w:t>
      </w:r>
      <w:r w:rsidRPr="0058040B">
        <w:rPr>
          <w:iCs/>
        </w:rPr>
        <w:t>2  –  Namjenske tekuće pomoći</w:t>
      </w:r>
      <w:r>
        <w:rPr>
          <w:iCs/>
        </w:rPr>
        <w:t xml:space="preserve"> (85</w:t>
      </w:r>
      <w:r w:rsidRPr="0058040B">
        <w:rPr>
          <w:iCs/>
        </w:rPr>
        <w:t>,00 eur</w:t>
      </w:r>
      <w:r>
        <w:rPr>
          <w:iCs/>
        </w:rPr>
        <w:t>a</w:t>
      </w:r>
      <w:r w:rsidRPr="0058040B">
        <w:rPr>
          <w:iCs/>
        </w:rPr>
        <w:t>)</w:t>
      </w:r>
    </w:p>
    <w:p w14:paraId="2C3768B1" w14:textId="6C073FD6" w:rsidR="00122CE1" w:rsidRPr="0058040B" w:rsidRDefault="00122CE1" w:rsidP="00122CE1">
      <w:pPr>
        <w:widowControl w:val="0"/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Izvor: 44  –  </w:t>
      </w:r>
      <w:r w:rsidRPr="0058040B">
        <w:rPr>
          <w:iCs/>
        </w:rPr>
        <w:t>EU fondovi pomoći (</w:t>
      </w:r>
      <w:r w:rsidR="00581013">
        <w:rPr>
          <w:iCs/>
        </w:rPr>
        <w:t>25</w:t>
      </w:r>
      <w:r w:rsidRPr="0058040B">
        <w:rPr>
          <w:iCs/>
        </w:rPr>
        <w:t>.</w:t>
      </w:r>
      <w:r w:rsidR="00581013">
        <w:rPr>
          <w:iCs/>
        </w:rPr>
        <w:t>027</w:t>
      </w:r>
      <w:r w:rsidRPr="0058040B">
        <w:rPr>
          <w:iCs/>
        </w:rPr>
        <w:t>,00 eur</w:t>
      </w:r>
      <w:r>
        <w:rPr>
          <w:iCs/>
        </w:rPr>
        <w:t>a</w:t>
      </w:r>
      <w:r w:rsidRPr="0058040B">
        <w:rPr>
          <w:iCs/>
        </w:rPr>
        <w:t>)</w:t>
      </w:r>
    </w:p>
    <w:p w14:paraId="64B81302" w14:textId="77777777" w:rsidR="00122CE1" w:rsidRPr="0058040B" w:rsidRDefault="00122CE1" w:rsidP="00122CE1">
      <w:pPr>
        <w:widowControl w:val="0"/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Izvor: 4</w:t>
      </w:r>
      <w:r w:rsidRPr="0058040B">
        <w:rPr>
          <w:iCs/>
        </w:rPr>
        <w:t>9  –  Pomoći iz državnog proračuna za plaće te ostale rashode za zaposlene (1.</w:t>
      </w:r>
      <w:r>
        <w:rPr>
          <w:iCs/>
        </w:rPr>
        <w:t>075</w:t>
      </w:r>
      <w:r w:rsidRPr="0058040B">
        <w:rPr>
          <w:iCs/>
        </w:rPr>
        <w:t>.</w:t>
      </w:r>
      <w:r>
        <w:rPr>
          <w:iCs/>
        </w:rPr>
        <w:t>0</w:t>
      </w:r>
      <w:r w:rsidRPr="0058040B">
        <w:rPr>
          <w:iCs/>
        </w:rPr>
        <w:t>00,00 eur</w:t>
      </w:r>
      <w:r>
        <w:rPr>
          <w:iCs/>
        </w:rPr>
        <w:t>a</w:t>
      </w:r>
      <w:r w:rsidRPr="0058040B">
        <w:rPr>
          <w:iCs/>
        </w:rPr>
        <w:t>)</w:t>
      </w:r>
    </w:p>
    <w:p w14:paraId="04BE2339" w14:textId="77777777" w:rsidR="00122CE1" w:rsidRDefault="00122CE1" w:rsidP="00122CE1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58040B">
        <w:rPr>
          <w:iCs/>
        </w:rPr>
        <w:t xml:space="preserve">Izvor: </w:t>
      </w:r>
      <w:r>
        <w:rPr>
          <w:iCs/>
        </w:rPr>
        <w:t>5</w:t>
      </w:r>
      <w:r w:rsidRPr="0058040B">
        <w:rPr>
          <w:iCs/>
        </w:rPr>
        <w:t>5  –  Donacije i ostali namjenski prihodi proračunskih korisnika (</w:t>
      </w:r>
      <w:r>
        <w:rPr>
          <w:iCs/>
        </w:rPr>
        <w:t>87</w:t>
      </w:r>
      <w:r w:rsidRPr="0058040B">
        <w:rPr>
          <w:iCs/>
        </w:rPr>
        <w:t>.</w:t>
      </w:r>
      <w:r>
        <w:rPr>
          <w:iCs/>
        </w:rPr>
        <w:t>180</w:t>
      </w:r>
      <w:r w:rsidRPr="0058040B">
        <w:rPr>
          <w:iCs/>
        </w:rPr>
        <w:t>,00 eur</w:t>
      </w:r>
      <w:r>
        <w:rPr>
          <w:iCs/>
        </w:rPr>
        <w:t>a</w:t>
      </w:r>
      <w:r w:rsidRPr="0058040B">
        <w:rPr>
          <w:iCs/>
        </w:rPr>
        <w:t>)</w:t>
      </w:r>
    </w:p>
    <w:p w14:paraId="0D59FFFA" w14:textId="77777777" w:rsidR="00122CE1" w:rsidRPr="0058040B" w:rsidRDefault="00122CE1" w:rsidP="00122CE1">
      <w:pPr>
        <w:widowControl w:val="0"/>
        <w:autoSpaceDE w:val="0"/>
        <w:autoSpaceDN w:val="0"/>
        <w:adjustRightInd w:val="0"/>
        <w:jc w:val="both"/>
        <w:rPr>
          <w:iCs/>
        </w:rPr>
      </w:pPr>
    </w:p>
    <w:p w14:paraId="50BDCB1F" w14:textId="77777777" w:rsidR="00122CE1" w:rsidRDefault="00122CE1" w:rsidP="00122CE1">
      <w:pPr>
        <w:widowControl w:val="0"/>
        <w:autoSpaceDE w:val="0"/>
        <w:autoSpaceDN w:val="0"/>
        <w:adjustRightInd w:val="0"/>
        <w:jc w:val="both"/>
        <w:rPr>
          <w:iCs/>
        </w:rPr>
      </w:pPr>
    </w:p>
    <w:p w14:paraId="1C265209" w14:textId="77777777" w:rsidR="00122CE1" w:rsidRPr="0058040B" w:rsidRDefault="00122CE1" w:rsidP="00122CE1">
      <w:pPr>
        <w:widowControl w:val="0"/>
        <w:autoSpaceDE w:val="0"/>
        <w:autoSpaceDN w:val="0"/>
        <w:adjustRightInd w:val="0"/>
        <w:jc w:val="both"/>
        <w:rPr>
          <w:iCs/>
        </w:rPr>
      </w:pPr>
    </w:p>
    <w:p w14:paraId="0525DAB8" w14:textId="77777777" w:rsidR="00122CE1" w:rsidRPr="0058040B" w:rsidRDefault="00122CE1" w:rsidP="00122CE1">
      <w:pPr>
        <w:jc w:val="both"/>
        <w:rPr>
          <w:b/>
          <w:bCs/>
          <w:iCs/>
        </w:rPr>
      </w:pPr>
      <w:r w:rsidRPr="0058040B">
        <w:rPr>
          <w:b/>
          <w:bCs/>
          <w:iCs/>
        </w:rPr>
        <w:t>RASHODI PREMA FUNKCIJSKOJ KLASIFIKACIJI</w:t>
      </w:r>
    </w:p>
    <w:p w14:paraId="18448835" w14:textId="7B18642D" w:rsidR="00122CE1" w:rsidRPr="0058040B" w:rsidRDefault="00122CE1" w:rsidP="00122CE1">
      <w:pPr>
        <w:jc w:val="both"/>
        <w:rPr>
          <w:iCs/>
        </w:rPr>
      </w:pPr>
      <w:r w:rsidRPr="0058040B">
        <w:rPr>
          <w:iCs/>
        </w:rPr>
        <w:t>Ukupni rashodi poslovanja razreda 3 i rashodi za nabavu nefinancijske imovine razreda 4 prema funkcijskoj klasifikaciji planirani su i razvrstani u klasu 09 Obrazovanje (podskupine 091 predškolsko i osnovnoškolsko obrazovanje</w:t>
      </w:r>
      <w:r>
        <w:rPr>
          <w:iCs/>
        </w:rPr>
        <w:t>) u ukupnom iznosu 1</w:t>
      </w:r>
      <w:r w:rsidRPr="0058040B">
        <w:rPr>
          <w:iCs/>
        </w:rPr>
        <w:t>.</w:t>
      </w:r>
      <w:r>
        <w:rPr>
          <w:iCs/>
        </w:rPr>
        <w:t>3</w:t>
      </w:r>
      <w:r w:rsidR="00581013">
        <w:rPr>
          <w:iCs/>
        </w:rPr>
        <w:t>48</w:t>
      </w:r>
      <w:r w:rsidRPr="0058040B">
        <w:rPr>
          <w:iCs/>
        </w:rPr>
        <w:t>.</w:t>
      </w:r>
      <w:r w:rsidR="00581013">
        <w:rPr>
          <w:iCs/>
        </w:rPr>
        <w:t>900</w:t>
      </w:r>
      <w:r w:rsidRPr="0058040B">
        <w:rPr>
          <w:iCs/>
        </w:rPr>
        <w:t>,00 eur</w:t>
      </w:r>
      <w:r>
        <w:rPr>
          <w:iCs/>
        </w:rPr>
        <w:t>a</w:t>
      </w:r>
      <w:r w:rsidRPr="0058040B">
        <w:rPr>
          <w:iCs/>
        </w:rPr>
        <w:t xml:space="preserve">. </w:t>
      </w:r>
    </w:p>
    <w:p w14:paraId="182A180C" w14:textId="77777777" w:rsidR="00122CE1" w:rsidRDefault="00122CE1" w:rsidP="00122CE1">
      <w:pPr>
        <w:jc w:val="both"/>
        <w:rPr>
          <w:iCs/>
        </w:rPr>
      </w:pPr>
    </w:p>
    <w:p w14:paraId="21E94014" w14:textId="77777777" w:rsidR="00122CE1" w:rsidRPr="0058040B" w:rsidRDefault="00122CE1" w:rsidP="00122CE1">
      <w:pPr>
        <w:jc w:val="both"/>
        <w:rPr>
          <w:iCs/>
        </w:rPr>
      </w:pPr>
    </w:p>
    <w:p w14:paraId="740E88FF" w14:textId="77777777" w:rsidR="00122CE1" w:rsidRPr="0058040B" w:rsidRDefault="00122CE1" w:rsidP="00122CE1">
      <w:pPr>
        <w:jc w:val="both"/>
        <w:rPr>
          <w:iCs/>
        </w:rPr>
      </w:pPr>
    </w:p>
    <w:p w14:paraId="59BEC8FD" w14:textId="77777777" w:rsidR="001D1EE2" w:rsidRPr="0058040B" w:rsidRDefault="001D1EE2" w:rsidP="001D1EE2">
      <w:pPr>
        <w:jc w:val="both"/>
        <w:rPr>
          <w:iCs/>
        </w:rPr>
      </w:pPr>
    </w:p>
    <w:p w14:paraId="07316815" w14:textId="77777777" w:rsidR="001D1EE2" w:rsidRPr="0058040B" w:rsidRDefault="001D1EE2" w:rsidP="001D1EE2">
      <w:pPr>
        <w:jc w:val="both"/>
        <w:rPr>
          <w:iCs/>
        </w:rPr>
      </w:pPr>
    </w:p>
    <w:p w14:paraId="0D729CC3" w14:textId="77777777" w:rsidR="001D1EE2" w:rsidRPr="0058040B" w:rsidRDefault="001D1EE2" w:rsidP="001D1EE2">
      <w:pPr>
        <w:jc w:val="both"/>
        <w:rPr>
          <w:iCs/>
        </w:rPr>
      </w:pPr>
    </w:p>
    <w:p w14:paraId="763EE2BD" w14:textId="1DD206BE" w:rsidR="004D4A50" w:rsidRDefault="004D4A50" w:rsidP="00FD22E9">
      <w:pPr>
        <w:jc w:val="both"/>
        <w:rPr>
          <w:iCs/>
        </w:rPr>
      </w:pPr>
    </w:p>
    <w:p w14:paraId="1D597075" w14:textId="000BB9D1" w:rsidR="004D4A50" w:rsidRDefault="004D4A50" w:rsidP="00FD22E9">
      <w:pPr>
        <w:jc w:val="both"/>
        <w:rPr>
          <w:iCs/>
        </w:rPr>
      </w:pPr>
    </w:p>
    <w:p w14:paraId="5CE424E5" w14:textId="7D2EC1A2" w:rsidR="004D4A50" w:rsidRDefault="004D4A50" w:rsidP="00FD22E9">
      <w:pPr>
        <w:jc w:val="both"/>
        <w:rPr>
          <w:iCs/>
        </w:rPr>
      </w:pPr>
    </w:p>
    <w:p w14:paraId="05C76961" w14:textId="5F012992" w:rsidR="004D4A50" w:rsidRDefault="004D4A50" w:rsidP="00FD22E9">
      <w:pPr>
        <w:jc w:val="both"/>
        <w:rPr>
          <w:iCs/>
        </w:rPr>
      </w:pPr>
    </w:p>
    <w:p w14:paraId="5364C02B" w14:textId="246EE4E0" w:rsidR="004D4A50" w:rsidRDefault="004D4A50" w:rsidP="00F07D09">
      <w:pPr>
        <w:ind w:left="0" w:firstLine="0"/>
        <w:jc w:val="both"/>
        <w:rPr>
          <w:iCs/>
        </w:rPr>
      </w:pPr>
    </w:p>
    <w:p w14:paraId="26C93502" w14:textId="4B76E3C1" w:rsidR="004D4A50" w:rsidRDefault="004D4A50" w:rsidP="00FD22E9">
      <w:pPr>
        <w:jc w:val="both"/>
        <w:rPr>
          <w:iCs/>
        </w:rPr>
      </w:pPr>
    </w:p>
    <w:p w14:paraId="2B0C2E6B" w14:textId="2B79DD08" w:rsidR="004D4A50" w:rsidRDefault="004D4A50" w:rsidP="00FD22E9">
      <w:pPr>
        <w:jc w:val="both"/>
        <w:rPr>
          <w:iCs/>
        </w:rPr>
      </w:pPr>
    </w:p>
    <w:p w14:paraId="7D214076" w14:textId="2B9C00DC" w:rsidR="00507AF8" w:rsidRDefault="00507AF8" w:rsidP="00FD22E9">
      <w:pPr>
        <w:jc w:val="both"/>
        <w:rPr>
          <w:iCs/>
        </w:rPr>
      </w:pPr>
    </w:p>
    <w:p w14:paraId="1AD9C061" w14:textId="77777777" w:rsidR="00507AF8" w:rsidRDefault="00507AF8" w:rsidP="00FD22E9">
      <w:pPr>
        <w:jc w:val="both"/>
        <w:rPr>
          <w:iCs/>
        </w:rPr>
      </w:pPr>
    </w:p>
    <w:p w14:paraId="6D6CC73C" w14:textId="59CABBE1" w:rsidR="004D4A50" w:rsidRDefault="004D4A50" w:rsidP="00FD22E9">
      <w:pPr>
        <w:jc w:val="both"/>
        <w:rPr>
          <w:iCs/>
        </w:rPr>
      </w:pPr>
    </w:p>
    <w:p w14:paraId="519690D6" w14:textId="4CE3BB3C" w:rsidR="004D4A50" w:rsidRDefault="004D4A50" w:rsidP="00FD22E9">
      <w:pPr>
        <w:jc w:val="both"/>
        <w:rPr>
          <w:iCs/>
        </w:rPr>
      </w:pPr>
    </w:p>
    <w:p w14:paraId="740B9A3A" w14:textId="0FC7AAEE" w:rsidR="00911DDD" w:rsidRDefault="00911DDD" w:rsidP="000A46A7">
      <w:pPr>
        <w:ind w:left="0" w:firstLine="0"/>
        <w:jc w:val="both"/>
      </w:pPr>
    </w:p>
    <w:sectPr w:rsidR="00911DDD" w:rsidSect="001D1EE2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 w:code="9"/>
      <w:pgMar w:top="1105" w:right="401" w:bottom="1124" w:left="1133" w:header="720" w:footer="69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04344" w14:textId="77777777" w:rsidR="003701CE" w:rsidRDefault="003701CE">
      <w:pPr>
        <w:spacing w:line="240" w:lineRule="auto"/>
      </w:pPr>
      <w:r>
        <w:separator/>
      </w:r>
    </w:p>
  </w:endnote>
  <w:endnote w:type="continuationSeparator" w:id="0">
    <w:p w14:paraId="7D1C95A4" w14:textId="77777777" w:rsidR="003701CE" w:rsidRDefault="00370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D2F5D" w14:textId="77777777" w:rsidR="000C418F" w:rsidRDefault="000C418F">
    <w:pPr>
      <w:tabs>
        <w:tab w:val="center" w:pos="14510"/>
      </w:tabs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5F917" w14:textId="3B2C6ED2" w:rsidR="000C418F" w:rsidRDefault="000C418F">
    <w:pPr>
      <w:tabs>
        <w:tab w:val="center" w:pos="14510"/>
      </w:tabs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81C91"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968B3" w14:textId="77777777" w:rsidR="000C418F" w:rsidRDefault="000C418F">
    <w:pPr>
      <w:tabs>
        <w:tab w:val="center" w:pos="14510"/>
      </w:tabs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22F0D" w14:textId="77777777" w:rsidR="003701CE" w:rsidRDefault="003701CE">
      <w:pPr>
        <w:spacing w:line="240" w:lineRule="auto"/>
      </w:pPr>
      <w:r>
        <w:separator/>
      </w:r>
    </w:p>
  </w:footnote>
  <w:footnote w:type="continuationSeparator" w:id="0">
    <w:p w14:paraId="19E86305" w14:textId="77777777" w:rsidR="003701CE" w:rsidRDefault="003701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0BAF" w14:textId="77777777" w:rsidR="000C418F" w:rsidRDefault="000C4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A9E"/>
    <w:multiLevelType w:val="hybridMultilevel"/>
    <w:tmpl w:val="136217B0"/>
    <w:lvl w:ilvl="0" w:tplc="F9364E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D3814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1F8B7F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F823E1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C62AF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F4223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5409A1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B76AFE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2F804B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972480"/>
    <w:multiLevelType w:val="hybridMultilevel"/>
    <w:tmpl w:val="1CF6684E"/>
    <w:lvl w:ilvl="0" w:tplc="F5264398">
      <w:start w:val="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24F46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DCEAE8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E0E22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214D4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05C8A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A57BA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EEDCD0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0EF08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7A7B03"/>
    <w:multiLevelType w:val="hybridMultilevel"/>
    <w:tmpl w:val="F3D022B4"/>
    <w:lvl w:ilvl="0" w:tplc="CF4A07C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4DDC6">
      <w:start w:val="1"/>
      <w:numFmt w:val="bullet"/>
      <w:lvlText w:val="-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42798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AE2F20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A1C40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CA504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6F0E8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58B2EE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C535C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9F286B"/>
    <w:multiLevelType w:val="hybridMultilevel"/>
    <w:tmpl w:val="76762D2E"/>
    <w:lvl w:ilvl="0" w:tplc="C4325D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8236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4DF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AB3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37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6A545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26AB4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EF2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EDD6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6768FE"/>
    <w:multiLevelType w:val="hybridMultilevel"/>
    <w:tmpl w:val="4C3AE152"/>
    <w:lvl w:ilvl="0" w:tplc="B7EC5B9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7A523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8A18C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1CB5C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5A0C3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80B6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EE3E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CE606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A883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3A6CA8"/>
    <w:multiLevelType w:val="hybridMultilevel"/>
    <w:tmpl w:val="77F46032"/>
    <w:lvl w:ilvl="0" w:tplc="DEC81A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0EAD2E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467B6C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128C5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56ED90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506C9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16C57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0002BA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C2DFCC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290B3D"/>
    <w:multiLevelType w:val="hybridMultilevel"/>
    <w:tmpl w:val="25BE5B32"/>
    <w:lvl w:ilvl="0" w:tplc="7DB0307A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7" w15:restartNumberingAfterBreak="0">
    <w:nsid w:val="34D05584"/>
    <w:multiLevelType w:val="hybridMultilevel"/>
    <w:tmpl w:val="649C0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F0998"/>
    <w:multiLevelType w:val="hybridMultilevel"/>
    <w:tmpl w:val="7E8EA7B0"/>
    <w:lvl w:ilvl="0" w:tplc="56A20C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759CB"/>
    <w:multiLevelType w:val="hybridMultilevel"/>
    <w:tmpl w:val="FCA03AD0"/>
    <w:lvl w:ilvl="0" w:tplc="99AE3AD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0F1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E64C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868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4A3D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C71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D0887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062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A37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573D18"/>
    <w:multiLevelType w:val="hybridMultilevel"/>
    <w:tmpl w:val="263C4B20"/>
    <w:lvl w:ilvl="0" w:tplc="7F7417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6A1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412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EE75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6B5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2E1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1E25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2297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608E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81129F"/>
    <w:multiLevelType w:val="hybridMultilevel"/>
    <w:tmpl w:val="595EBDB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D78D3"/>
    <w:multiLevelType w:val="hybridMultilevel"/>
    <w:tmpl w:val="363AB2F6"/>
    <w:lvl w:ilvl="0" w:tplc="1032B972">
      <w:start w:val="1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D4D20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2E13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18AB8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3889F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8B1E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260C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2B60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18F8B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521EAD"/>
    <w:multiLevelType w:val="hybridMultilevel"/>
    <w:tmpl w:val="D906747C"/>
    <w:lvl w:ilvl="0" w:tplc="197AADFA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19E25E4"/>
    <w:multiLevelType w:val="hybridMultilevel"/>
    <w:tmpl w:val="C9C05940"/>
    <w:lvl w:ilvl="0" w:tplc="548E2F72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E73B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62EC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0800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B04A8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669C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EE6D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AA5F0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E6E0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5611AB"/>
    <w:multiLevelType w:val="hybridMultilevel"/>
    <w:tmpl w:val="10E6864C"/>
    <w:lvl w:ilvl="0" w:tplc="7920342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BA9FF8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ED9F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40E2E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277E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923F24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2810E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4A7E3E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46A1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3C3736"/>
    <w:multiLevelType w:val="hybridMultilevel"/>
    <w:tmpl w:val="53962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63A75"/>
    <w:multiLevelType w:val="hybridMultilevel"/>
    <w:tmpl w:val="D0F27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12"/>
  </w:num>
  <w:num w:numId="8">
    <w:abstractNumId w:val="14"/>
  </w:num>
  <w:num w:numId="9">
    <w:abstractNumId w:val="1"/>
  </w:num>
  <w:num w:numId="10">
    <w:abstractNumId w:val="15"/>
  </w:num>
  <w:num w:numId="11">
    <w:abstractNumId w:val="0"/>
  </w:num>
  <w:num w:numId="12">
    <w:abstractNumId w:val="17"/>
  </w:num>
  <w:num w:numId="13">
    <w:abstractNumId w:val="7"/>
  </w:num>
  <w:num w:numId="14">
    <w:abstractNumId w:val="11"/>
  </w:num>
  <w:num w:numId="15">
    <w:abstractNumId w:val="8"/>
  </w:num>
  <w:num w:numId="16">
    <w:abstractNumId w:val="16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D1"/>
    <w:rsid w:val="000039B1"/>
    <w:rsid w:val="0001448D"/>
    <w:rsid w:val="000257A4"/>
    <w:rsid w:val="0002774E"/>
    <w:rsid w:val="00063F86"/>
    <w:rsid w:val="000665B0"/>
    <w:rsid w:val="00096B75"/>
    <w:rsid w:val="000A0F45"/>
    <w:rsid w:val="000A46A7"/>
    <w:rsid w:val="000B585F"/>
    <w:rsid w:val="000C418F"/>
    <w:rsid w:val="000C5C46"/>
    <w:rsid w:val="000D6A82"/>
    <w:rsid w:val="000F2E76"/>
    <w:rsid w:val="000F3C25"/>
    <w:rsid w:val="000F5B4E"/>
    <w:rsid w:val="001003EA"/>
    <w:rsid w:val="0010473E"/>
    <w:rsid w:val="00115927"/>
    <w:rsid w:val="00122CE1"/>
    <w:rsid w:val="00126B65"/>
    <w:rsid w:val="00136441"/>
    <w:rsid w:val="0019352F"/>
    <w:rsid w:val="001A0BC9"/>
    <w:rsid w:val="001D1EE2"/>
    <w:rsid w:val="001E4CD2"/>
    <w:rsid w:val="0020415C"/>
    <w:rsid w:val="002107DC"/>
    <w:rsid w:val="002135E4"/>
    <w:rsid w:val="002248E0"/>
    <w:rsid w:val="00296A2D"/>
    <w:rsid w:val="00296D19"/>
    <w:rsid w:val="00297F78"/>
    <w:rsid w:val="002A3DE7"/>
    <w:rsid w:val="002A7780"/>
    <w:rsid w:val="002D07AB"/>
    <w:rsid w:val="002D234E"/>
    <w:rsid w:val="002D3E5C"/>
    <w:rsid w:val="002E214B"/>
    <w:rsid w:val="002E2534"/>
    <w:rsid w:val="002F0624"/>
    <w:rsid w:val="00307A92"/>
    <w:rsid w:val="003155C0"/>
    <w:rsid w:val="003246B0"/>
    <w:rsid w:val="003372BB"/>
    <w:rsid w:val="00345C2A"/>
    <w:rsid w:val="003500AE"/>
    <w:rsid w:val="00351C0C"/>
    <w:rsid w:val="00365DDA"/>
    <w:rsid w:val="003701CE"/>
    <w:rsid w:val="003768EE"/>
    <w:rsid w:val="00382626"/>
    <w:rsid w:val="003853CB"/>
    <w:rsid w:val="003B5435"/>
    <w:rsid w:val="003C4B0D"/>
    <w:rsid w:val="00400BBD"/>
    <w:rsid w:val="00450BD9"/>
    <w:rsid w:val="00463B4F"/>
    <w:rsid w:val="004763A0"/>
    <w:rsid w:val="00481CA4"/>
    <w:rsid w:val="00483964"/>
    <w:rsid w:val="00487D33"/>
    <w:rsid w:val="00491653"/>
    <w:rsid w:val="004B6550"/>
    <w:rsid w:val="004D4A50"/>
    <w:rsid w:val="004E171E"/>
    <w:rsid w:val="004F0C60"/>
    <w:rsid w:val="004F50CA"/>
    <w:rsid w:val="005026F6"/>
    <w:rsid w:val="00505932"/>
    <w:rsid w:val="00507AF8"/>
    <w:rsid w:val="005166FB"/>
    <w:rsid w:val="00523D9E"/>
    <w:rsid w:val="005312EB"/>
    <w:rsid w:val="00532F74"/>
    <w:rsid w:val="005330F7"/>
    <w:rsid w:val="005371F4"/>
    <w:rsid w:val="005438BA"/>
    <w:rsid w:val="005445BF"/>
    <w:rsid w:val="00555009"/>
    <w:rsid w:val="00563492"/>
    <w:rsid w:val="005648BD"/>
    <w:rsid w:val="00566BAE"/>
    <w:rsid w:val="005677FD"/>
    <w:rsid w:val="00581013"/>
    <w:rsid w:val="005B49CF"/>
    <w:rsid w:val="005C00FE"/>
    <w:rsid w:val="005C4810"/>
    <w:rsid w:val="005C7CD1"/>
    <w:rsid w:val="005F392C"/>
    <w:rsid w:val="005F47A3"/>
    <w:rsid w:val="00620926"/>
    <w:rsid w:val="00637243"/>
    <w:rsid w:val="006402C2"/>
    <w:rsid w:val="00655D84"/>
    <w:rsid w:val="00656533"/>
    <w:rsid w:val="00661FAA"/>
    <w:rsid w:val="00674219"/>
    <w:rsid w:val="00693873"/>
    <w:rsid w:val="006A18AA"/>
    <w:rsid w:val="006B0F11"/>
    <w:rsid w:val="006B6D1A"/>
    <w:rsid w:val="006D7687"/>
    <w:rsid w:val="006E3A1E"/>
    <w:rsid w:val="00710B69"/>
    <w:rsid w:val="007241D0"/>
    <w:rsid w:val="00733735"/>
    <w:rsid w:val="00733939"/>
    <w:rsid w:val="007341D0"/>
    <w:rsid w:val="0073519E"/>
    <w:rsid w:val="00757AD3"/>
    <w:rsid w:val="0076338F"/>
    <w:rsid w:val="0079668E"/>
    <w:rsid w:val="007C1CDF"/>
    <w:rsid w:val="007E22BE"/>
    <w:rsid w:val="007F0473"/>
    <w:rsid w:val="00802C91"/>
    <w:rsid w:val="0081230C"/>
    <w:rsid w:val="00816D70"/>
    <w:rsid w:val="00832D39"/>
    <w:rsid w:val="0084292A"/>
    <w:rsid w:val="008459F7"/>
    <w:rsid w:val="00881C91"/>
    <w:rsid w:val="008833D2"/>
    <w:rsid w:val="0088592C"/>
    <w:rsid w:val="00894F50"/>
    <w:rsid w:val="008977C8"/>
    <w:rsid w:val="008A509B"/>
    <w:rsid w:val="008A744F"/>
    <w:rsid w:val="008A77A7"/>
    <w:rsid w:val="008E7268"/>
    <w:rsid w:val="008F0543"/>
    <w:rsid w:val="008F548E"/>
    <w:rsid w:val="00911DDD"/>
    <w:rsid w:val="00916F68"/>
    <w:rsid w:val="00945FFF"/>
    <w:rsid w:val="00971DDB"/>
    <w:rsid w:val="00974C98"/>
    <w:rsid w:val="00984B56"/>
    <w:rsid w:val="009919AE"/>
    <w:rsid w:val="00993739"/>
    <w:rsid w:val="009A5894"/>
    <w:rsid w:val="009B5B87"/>
    <w:rsid w:val="009C4047"/>
    <w:rsid w:val="009E4BD1"/>
    <w:rsid w:val="009E6498"/>
    <w:rsid w:val="009F15C5"/>
    <w:rsid w:val="009F1787"/>
    <w:rsid w:val="00A07BB1"/>
    <w:rsid w:val="00A2185E"/>
    <w:rsid w:val="00A4486B"/>
    <w:rsid w:val="00A6002E"/>
    <w:rsid w:val="00A65E70"/>
    <w:rsid w:val="00A672AB"/>
    <w:rsid w:val="00A8238F"/>
    <w:rsid w:val="00A86AB7"/>
    <w:rsid w:val="00AC2BEB"/>
    <w:rsid w:val="00AC7A0D"/>
    <w:rsid w:val="00AD457D"/>
    <w:rsid w:val="00AD7BD2"/>
    <w:rsid w:val="00AF6F8E"/>
    <w:rsid w:val="00B01E94"/>
    <w:rsid w:val="00B07A5E"/>
    <w:rsid w:val="00B30172"/>
    <w:rsid w:val="00B40831"/>
    <w:rsid w:val="00B41498"/>
    <w:rsid w:val="00B53B87"/>
    <w:rsid w:val="00B55051"/>
    <w:rsid w:val="00B560BD"/>
    <w:rsid w:val="00B77589"/>
    <w:rsid w:val="00B9743F"/>
    <w:rsid w:val="00BA75E8"/>
    <w:rsid w:val="00BB0FF6"/>
    <w:rsid w:val="00BB1C1C"/>
    <w:rsid w:val="00BC2952"/>
    <w:rsid w:val="00BD1CB4"/>
    <w:rsid w:val="00BF5754"/>
    <w:rsid w:val="00C0716C"/>
    <w:rsid w:val="00C12096"/>
    <w:rsid w:val="00C43059"/>
    <w:rsid w:val="00C53D8B"/>
    <w:rsid w:val="00C63A76"/>
    <w:rsid w:val="00C73DFD"/>
    <w:rsid w:val="00C82217"/>
    <w:rsid w:val="00CA4083"/>
    <w:rsid w:val="00CB568B"/>
    <w:rsid w:val="00CC4EEE"/>
    <w:rsid w:val="00CD56E8"/>
    <w:rsid w:val="00CE7371"/>
    <w:rsid w:val="00CF2212"/>
    <w:rsid w:val="00D03D02"/>
    <w:rsid w:val="00D06695"/>
    <w:rsid w:val="00D20F28"/>
    <w:rsid w:val="00D248F9"/>
    <w:rsid w:val="00D30426"/>
    <w:rsid w:val="00D42B24"/>
    <w:rsid w:val="00D43EC2"/>
    <w:rsid w:val="00D62F44"/>
    <w:rsid w:val="00D85447"/>
    <w:rsid w:val="00D9181E"/>
    <w:rsid w:val="00D91C60"/>
    <w:rsid w:val="00D94046"/>
    <w:rsid w:val="00DA1D4D"/>
    <w:rsid w:val="00DA5434"/>
    <w:rsid w:val="00DB0AA7"/>
    <w:rsid w:val="00DB187E"/>
    <w:rsid w:val="00DC3150"/>
    <w:rsid w:val="00DD151F"/>
    <w:rsid w:val="00DD4750"/>
    <w:rsid w:val="00DF627E"/>
    <w:rsid w:val="00E03279"/>
    <w:rsid w:val="00E037FD"/>
    <w:rsid w:val="00E34A9F"/>
    <w:rsid w:val="00E503DF"/>
    <w:rsid w:val="00E56383"/>
    <w:rsid w:val="00E779AE"/>
    <w:rsid w:val="00E8569D"/>
    <w:rsid w:val="00E90352"/>
    <w:rsid w:val="00E930BB"/>
    <w:rsid w:val="00E95F55"/>
    <w:rsid w:val="00EC374E"/>
    <w:rsid w:val="00EE1DB0"/>
    <w:rsid w:val="00EE2256"/>
    <w:rsid w:val="00EF744E"/>
    <w:rsid w:val="00F030D3"/>
    <w:rsid w:val="00F07D09"/>
    <w:rsid w:val="00F107AC"/>
    <w:rsid w:val="00F31315"/>
    <w:rsid w:val="00F41500"/>
    <w:rsid w:val="00F45973"/>
    <w:rsid w:val="00F70258"/>
    <w:rsid w:val="00F81598"/>
    <w:rsid w:val="00F855C0"/>
    <w:rsid w:val="00F85742"/>
    <w:rsid w:val="00F9625F"/>
    <w:rsid w:val="00FC112D"/>
    <w:rsid w:val="00FC1D27"/>
    <w:rsid w:val="00FC627B"/>
    <w:rsid w:val="00FC6DB3"/>
    <w:rsid w:val="00FD22E9"/>
    <w:rsid w:val="00FE5D4F"/>
    <w:rsid w:val="00FF1523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0E54D"/>
  <w15:docId w15:val="{EA10E3CF-BA93-4457-B34E-76AFD77B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C4B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9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AE"/>
    <w:rPr>
      <w:rFonts w:ascii="Segoe UI" w:eastAsia="Times New Roman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8F0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1547">
    <w:name w:val="box_461547"/>
    <w:basedOn w:val="Normal"/>
    <w:rsid w:val="007C1CDF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55500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009"/>
    <w:rPr>
      <w:rFonts w:ascii="Times New Roman" w:eastAsia="Times New Roman" w:hAnsi="Times New Roman" w:cs="Times New Roman"/>
      <w:color w:val="000000"/>
      <w:sz w:val="24"/>
    </w:rPr>
  </w:style>
  <w:style w:type="paragraph" w:styleId="NoSpacing">
    <w:name w:val="No Spacing"/>
    <w:uiPriority w:val="1"/>
    <w:qFormat/>
    <w:rsid w:val="0055500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937E4-D185-4066-93CC-966A3484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1511</Words>
  <Characters>8613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Obrazloženja Financijskog plana za 2012</vt:lpstr>
      <vt:lpstr>Obrazloženja Financijskog plana za 2012</vt:lpstr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Obrazloženja Financijskog plana za 2012</dc:title>
  <dc:creator>PC</dc:creator>
  <cp:lastModifiedBy>korisnik</cp:lastModifiedBy>
  <cp:revision>6</cp:revision>
  <cp:lastPrinted>2023-09-26T08:39:00Z</cp:lastPrinted>
  <dcterms:created xsi:type="dcterms:W3CDTF">2025-09-19T09:48:00Z</dcterms:created>
  <dcterms:modified xsi:type="dcterms:W3CDTF">2026-01-13T10:20:00Z</dcterms:modified>
</cp:coreProperties>
</file>